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CA21" w14:textId="77777777" w:rsidR="00A600A9" w:rsidRPr="00627DB1" w:rsidRDefault="00A600A9">
      <w:pPr>
        <w:rPr>
          <w:rFonts w:ascii="Times New Roman" w:hAnsi="Times New Roman" w:cs="Times New Roman"/>
          <w:sz w:val="24"/>
          <w:szCs w:val="24"/>
          <w:lang w:val="lv-LV"/>
        </w:rPr>
      </w:pPr>
    </w:p>
    <w:p w14:paraId="0FE749FA" w14:textId="6A95597A" w:rsidR="00A600A9" w:rsidRPr="00627DB1" w:rsidRDefault="00A600A9" w:rsidP="00A600A9">
      <w:pPr>
        <w:spacing w:after="0"/>
        <w:rPr>
          <w:rFonts w:ascii="Times New Roman" w:hAnsi="Times New Roman" w:cs="Times New Roman"/>
          <w:sz w:val="24"/>
          <w:szCs w:val="24"/>
          <w:lang w:val="lv-LV"/>
        </w:rPr>
      </w:pPr>
      <w:r w:rsidRPr="00627DB1">
        <w:rPr>
          <w:rFonts w:ascii="Times New Roman" w:hAnsi="Times New Roman" w:cs="Times New Roman"/>
          <w:sz w:val="24"/>
          <w:szCs w:val="24"/>
          <w:lang w:val="lv-LV"/>
        </w:rPr>
        <w:t xml:space="preserve">Preses relīze </w:t>
      </w:r>
      <w:r w:rsidR="00627DB1" w:rsidRPr="00C20AF4">
        <w:rPr>
          <w:rFonts w:ascii="Times New Roman" w:hAnsi="Times New Roman" w:cs="Times New Roman"/>
          <w:sz w:val="24"/>
          <w:szCs w:val="24"/>
          <w:lang w:val="lv-LV"/>
        </w:rPr>
        <w:t>26</w:t>
      </w:r>
      <w:r w:rsidRPr="00C20AF4">
        <w:rPr>
          <w:rFonts w:ascii="Times New Roman" w:hAnsi="Times New Roman" w:cs="Times New Roman"/>
          <w:sz w:val="24"/>
          <w:szCs w:val="24"/>
          <w:lang w:val="lv-LV"/>
        </w:rPr>
        <w:t>.0</w:t>
      </w:r>
      <w:r w:rsidR="00EA1B8C" w:rsidRPr="00C20AF4">
        <w:rPr>
          <w:rFonts w:ascii="Times New Roman" w:hAnsi="Times New Roman" w:cs="Times New Roman"/>
          <w:sz w:val="24"/>
          <w:szCs w:val="24"/>
          <w:lang w:val="lv-LV"/>
        </w:rPr>
        <w:t>5</w:t>
      </w:r>
      <w:r w:rsidRPr="00C20AF4">
        <w:rPr>
          <w:rFonts w:ascii="Times New Roman" w:hAnsi="Times New Roman" w:cs="Times New Roman"/>
          <w:sz w:val="24"/>
          <w:szCs w:val="24"/>
          <w:lang w:val="lv-LV"/>
        </w:rPr>
        <w:t>.2022.</w:t>
      </w:r>
    </w:p>
    <w:p w14:paraId="1D3BAFDF" w14:textId="15D6AEDE" w:rsidR="00A600A9" w:rsidRPr="00627DB1" w:rsidRDefault="00A600A9" w:rsidP="00A600A9">
      <w:pPr>
        <w:spacing w:after="0"/>
        <w:rPr>
          <w:rFonts w:ascii="Times New Roman" w:hAnsi="Times New Roman" w:cs="Times New Roman"/>
          <w:sz w:val="24"/>
          <w:szCs w:val="24"/>
          <w:lang w:val="lv-LV"/>
        </w:rPr>
      </w:pPr>
    </w:p>
    <w:p w14:paraId="56D10EFF" w14:textId="4D7A61FC" w:rsidR="00627DB1" w:rsidRDefault="00627DB1" w:rsidP="00627DB1">
      <w:pPr>
        <w:pStyle w:val="NoSpacing"/>
        <w:jc w:val="center"/>
        <w:rPr>
          <w:rFonts w:ascii="Times New Roman" w:hAnsi="Times New Roman" w:cs="Times New Roman"/>
          <w:b/>
          <w:sz w:val="24"/>
          <w:szCs w:val="24"/>
        </w:rPr>
      </w:pPr>
      <w:r w:rsidRPr="00627DB1">
        <w:rPr>
          <w:rFonts w:ascii="Times New Roman" w:hAnsi="Times New Roman" w:cs="Times New Roman"/>
          <w:b/>
          <w:sz w:val="24"/>
          <w:szCs w:val="24"/>
        </w:rPr>
        <w:t xml:space="preserve">Sāk piemērot jauno </w:t>
      </w:r>
      <w:r w:rsidRPr="00627DB1">
        <w:rPr>
          <w:rFonts w:ascii="Times New Roman" w:hAnsi="Times New Roman" w:cs="Times New Roman"/>
          <w:b/>
          <w:i/>
          <w:sz w:val="24"/>
          <w:szCs w:val="24"/>
        </w:rPr>
        <w:t>in vitro</w:t>
      </w:r>
      <w:r w:rsidRPr="00627DB1">
        <w:rPr>
          <w:rFonts w:ascii="Times New Roman" w:hAnsi="Times New Roman" w:cs="Times New Roman"/>
          <w:b/>
          <w:sz w:val="24"/>
          <w:szCs w:val="24"/>
        </w:rPr>
        <w:t xml:space="preserve"> diagnostikas medicīnisko ierīču regulu</w:t>
      </w:r>
    </w:p>
    <w:p w14:paraId="6A3A63B1" w14:textId="77777777" w:rsidR="00627DB1" w:rsidRPr="00627DB1" w:rsidRDefault="00627DB1" w:rsidP="00627DB1">
      <w:pPr>
        <w:pStyle w:val="NoSpacing"/>
        <w:jc w:val="both"/>
        <w:rPr>
          <w:rFonts w:ascii="Times New Roman" w:hAnsi="Times New Roman" w:cs="Times New Roman"/>
          <w:sz w:val="24"/>
          <w:szCs w:val="24"/>
        </w:rPr>
      </w:pPr>
    </w:p>
    <w:p w14:paraId="5D0F6BAB" w14:textId="77777777" w:rsidR="00627DB1" w:rsidRPr="00627DB1" w:rsidRDefault="00627DB1" w:rsidP="00627DB1">
      <w:pPr>
        <w:pStyle w:val="NoSpacing"/>
        <w:jc w:val="both"/>
        <w:rPr>
          <w:rFonts w:ascii="Times New Roman" w:hAnsi="Times New Roman" w:cs="Times New Roman"/>
          <w:sz w:val="24"/>
          <w:szCs w:val="24"/>
        </w:rPr>
      </w:pPr>
    </w:p>
    <w:p w14:paraId="33A26E51" w14:textId="4455ACCD" w:rsidR="00627DB1" w:rsidRPr="0093481F" w:rsidRDefault="00627DB1" w:rsidP="00627DB1">
      <w:pPr>
        <w:pStyle w:val="NoSpacing"/>
        <w:jc w:val="both"/>
        <w:rPr>
          <w:rFonts w:ascii="Times New Roman" w:hAnsi="Times New Roman" w:cs="Times New Roman"/>
          <w:sz w:val="24"/>
          <w:szCs w:val="24"/>
        </w:rPr>
      </w:pPr>
      <w:r w:rsidRPr="0093481F">
        <w:rPr>
          <w:rFonts w:ascii="Times New Roman" w:hAnsi="Times New Roman" w:cs="Times New Roman"/>
          <w:sz w:val="24"/>
          <w:szCs w:val="24"/>
        </w:rPr>
        <w:t xml:space="preserve">Šodien, 26. maijā, Eiropas Savienībā, tai skaitā Latvijā, sāk piemērot jaunu regulu*, kas  nodrošinās noturīgu, pārredzamu, ilgtspējīgu un starptautiski atzītu </w:t>
      </w:r>
      <w:r w:rsidRPr="0093481F">
        <w:rPr>
          <w:rFonts w:ascii="Times New Roman" w:hAnsi="Times New Roman" w:cs="Times New Roman"/>
          <w:i/>
          <w:sz w:val="24"/>
          <w:szCs w:val="24"/>
        </w:rPr>
        <w:t>in vitro</w:t>
      </w:r>
      <w:r w:rsidR="0093481F">
        <w:rPr>
          <w:rFonts w:ascii="Times New Roman" w:hAnsi="Times New Roman" w:cs="Times New Roman"/>
          <w:i/>
          <w:sz w:val="24"/>
          <w:szCs w:val="24"/>
        </w:rPr>
        <w:t>**</w:t>
      </w:r>
      <w:r w:rsidRPr="0093481F">
        <w:rPr>
          <w:rFonts w:ascii="Times New Roman" w:hAnsi="Times New Roman" w:cs="Times New Roman"/>
          <w:sz w:val="24"/>
          <w:szCs w:val="24"/>
        </w:rPr>
        <w:t xml:space="preserve"> diagnostikas medicīnisko ierīču tiesisko regulējumu, uzlabos </w:t>
      </w:r>
      <w:r w:rsidRPr="0093481F">
        <w:rPr>
          <w:rFonts w:ascii="Times New Roman" w:hAnsi="Times New Roman" w:cs="Times New Roman"/>
          <w:iCs/>
          <w:sz w:val="24"/>
          <w:szCs w:val="24"/>
        </w:rPr>
        <w:t>šo</w:t>
      </w:r>
      <w:r w:rsidRPr="0093481F">
        <w:rPr>
          <w:rFonts w:ascii="Times New Roman" w:hAnsi="Times New Roman" w:cs="Times New Roman"/>
          <w:sz w:val="24"/>
          <w:szCs w:val="24"/>
        </w:rPr>
        <w:t xml:space="preserve"> ierīču klīnisko drošumu un garantēs ierīču ražotājiem godīgu piekļuvi tirgum - informē Zāļu valsts aģentūra. </w:t>
      </w:r>
    </w:p>
    <w:p w14:paraId="796EE22E" w14:textId="77777777" w:rsidR="00627DB1" w:rsidRPr="0093481F" w:rsidRDefault="00627DB1" w:rsidP="00627DB1">
      <w:pPr>
        <w:pStyle w:val="NoSpacing"/>
        <w:jc w:val="both"/>
        <w:rPr>
          <w:rFonts w:ascii="Times New Roman" w:hAnsi="Times New Roman" w:cs="Times New Roman"/>
          <w:sz w:val="24"/>
          <w:szCs w:val="24"/>
        </w:rPr>
      </w:pPr>
    </w:p>
    <w:p w14:paraId="2DE7E6DD" w14:textId="77777777" w:rsidR="00627DB1" w:rsidRPr="0093481F" w:rsidRDefault="00627DB1" w:rsidP="00627DB1">
      <w:pPr>
        <w:pStyle w:val="NoSpacing"/>
        <w:jc w:val="both"/>
        <w:rPr>
          <w:rFonts w:ascii="Times New Roman" w:hAnsi="Times New Roman" w:cs="Times New Roman"/>
          <w:sz w:val="24"/>
          <w:szCs w:val="24"/>
        </w:rPr>
      </w:pPr>
      <w:r w:rsidRPr="0093481F">
        <w:rPr>
          <w:rFonts w:ascii="Times New Roman" w:hAnsi="Times New Roman" w:cs="Times New Roman"/>
          <w:sz w:val="24"/>
          <w:szCs w:val="24"/>
        </w:rPr>
        <w:t xml:space="preserve">Jaunā regula aizstāj līdz šim spēkā esošo Eiropas Parlamenta un Padomes Direktīvu 98/79/EK par medicīnas ierīcēm, ko lieto </w:t>
      </w:r>
      <w:r w:rsidRPr="0093481F">
        <w:rPr>
          <w:rFonts w:ascii="Times New Roman" w:hAnsi="Times New Roman" w:cs="Times New Roman"/>
          <w:i/>
          <w:sz w:val="24"/>
          <w:szCs w:val="24"/>
        </w:rPr>
        <w:t>in vitro</w:t>
      </w:r>
      <w:r w:rsidRPr="0093481F">
        <w:rPr>
          <w:rFonts w:ascii="Times New Roman" w:hAnsi="Times New Roman" w:cs="Times New Roman"/>
          <w:sz w:val="24"/>
          <w:szCs w:val="24"/>
        </w:rPr>
        <w:t xml:space="preserve"> diagnostikā.</w:t>
      </w:r>
    </w:p>
    <w:p w14:paraId="34907258" w14:textId="77777777" w:rsidR="00627DB1" w:rsidRPr="0093481F" w:rsidRDefault="00627DB1" w:rsidP="00627DB1">
      <w:pPr>
        <w:pStyle w:val="NoSpacing"/>
        <w:jc w:val="both"/>
        <w:rPr>
          <w:rFonts w:ascii="Times New Roman" w:hAnsi="Times New Roman" w:cs="Times New Roman"/>
          <w:sz w:val="24"/>
          <w:szCs w:val="24"/>
        </w:rPr>
      </w:pPr>
    </w:p>
    <w:p w14:paraId="247F6D71" w14:textId="48D6EEA0" w:rsidR="00627DB1" w:rsidRPr="00627DB1" w:rsidRDefault="00627DB1" w:rsidP="00627DB1">
      <w:pPr>
        <w:pStyle w:val="NoSpacing"/>
        <w:jc w:val="both"/>
        <w:rPr>
          <w:rFonts w:ascii="Times New Roman" w:hAnsi="Times New Roman" w:cs="Times New Roman"/>
          <w:sz w:val="24"/>
          <w:szCs w:val="24"/>
        </w:rPr>
      </w:pPr>
      <w:r w:rsidRPr="0093481F">
        <w:rPr>
          <w:rFonts w:ascii="Times New Roman" w:hAnsi="Times New Roman" w:cs="Times New Roman"/>
          <w:sz w:val="24"/>
          <w:szCs w:val="24"/>
        </w:rPr>
        <w:t xml:space="preserve">Līdz ar regulas piemērošanu lielas izmaiņas skar </w:t>
      </w:r>
      <w:r w:rsidRPr="0093481F">
        <w:rPr>
          <w:rFonts w:ascii="Times New Roman" w:hAnsi="Times New Roman" w:cs="Times New Roman"/>
          <w:i/>
          <w:sz w:val="24"/>
          <w:szCs w:val="24"/>
        </w:rPr>
        <w:t>in vitro</w:t>
      </w:r>
      <w:r w:rsidRPr="0093481F">
        <w:rPr>
          <w:rFonts w:ascii="Times New Roman" w:hAnsi="Times New Roman" w:cs="Times New Roman"/>
          <w:sz w:val="24"/>
          <w:szCs w:val="24"/>
        </w:rPr>
        <w:t xml:space="preserve"> diagnostikas medicīnisko ierīču riska klasifikāciju un paziņoto struktūru (jeb neatkarīgu sertifikācijas organizāciju, kuras veic medicīnisko ierīču </w:t>
      </w:r>
      <w:r w:rsidR="00473CD5" w:rsidRPr="0093481F">
        <w:rPr>
          <w:rFonts w:ascii="Times New Roman" w:hAnsi="Times New Roman" w:cs="Times New Roman"/>
          <w:sz w:val="24"/>
          <w:szCs w:val="24"/>
        </w:rPr>
        <w:t xml:space="preserve">atbilstības </w:t>
      </w:r>
      <w:r w:rsidRPr="0093481F">
        <w:rPr>
          <w:rFonts w:ascii="Times New Roman" w:hAnsi="Times New Roman" w:cs="Times New Roman"/>
          <w:sz w:val="24"/>
          <w:szCs w:val="24"/>
        </w:rPr>
        <w:t>vērtēšanu pirms to laišanas tirgū) nozīmi.</w:t>
      </w:r>
      <w:r w:rsidRPr="00627DB1">
        <w:rPr>
          <w:rFonts w:ascii="Times New Roman" w:hAnsi="Times New Roman" w:cs="Times New Roman"/>
          <w:sz w:val="24"/>
          <w:szCs w:val="24"/>
        </w:rPr>
        <w:t xml:space="preserve"> </w:t>
      </w:r>
    </w:p>
    <w:p w14:paraId="479648DD" w14:textId="77777777" w:rsidR="00627DB1" w:rsidRPr="00627DB1" w:rsidRDefault="00627DB1" w:rsidP="00627DB1">
      <w:pPr>
        <w:pStyle w:val="NoSpacing"/>
        <w:jc w:val="both"/>
        <w:rPr>
          <w:rFonts w:ascii="Times New Roman" w:hAnsi="Times New Roman" w:cs="Times New Roman"/>
          <w:sz w:val="24"/>
          <w:szCs w:val="24"/>
        </w:rPr>
      </w:pPr>
    </w:p>
    <w:p w14:paraId="6B7624B1" w14:textId="77777777" w:rsidR="00627DB1" w:rsidRPr="00627DB1" w:rsidRDefault="00627DB1" w:rsidP="00627DB1">
      <w:pPr>
        <w:pStyle w:val="NoSpacing"/>
        <w:jc w:val="both"/>
        <w:rPr>
          <w:rFonts w:ascii="Times New Roman" w:hAnsi="Times New Roman" w:cs="Times New Roman"/>
          <w:sz w:val="24"/>
          <w:szCs w:val="24"/>
        </w:rPr>
      </w:pPr>
      <w:r w:rsidRPr="00627DB1">
        <w:rPr>
          <w:rFonts w:ascii="Times New Roman" w:hAnsi="Times New Roman" w:cs="Times New Roman"/>
          <w:sz w:val="24"/>
          <w:szCs w:val="24"/>
        </w:rPr>
        <w:t xml:space="preserve">Lai piešķirtu katrai </w:t>
      </w:r>
      <w:r w:rsidRPr="00627DB1">
        <w:rPr>
          <w:rFonts w:ascii="Times New Roman" w:hAnsi="Times New Roman" w:cs="Times New Roman"/>
          <w:i/>
          <w:sz w:val="24"/>
          <w:szCs w:val="24"/>
        </w:rPr>
        <w:t>in vitro</w:t>
      </w:r>
      <w:r w:rsidRPr="00627DB1">
        <w:rPr>
          <w:rFonts w:ascii="Times New Roman" w:hAnsi="Times New Roman" w:cs="Times New Roman"/>
          <w:sz w:val="24"/>
          <w:szCs w:val="24"/>
        </w:rPr>
        <w:t xml:space="preserve"> diagnostikas medicīniskai ierīcei vienu no četrām riska kategorijām – sākot no A klases (mazākais risks) un beidzot ar D klasi (lielākais risks) </w:t>
      </w:r>
      <w:r w:rsidRPr="00627DB1">
        <w:rPr>
          <w:rFonts w:ascii="Times New Roman" w:hAnsi="Times New Roman" w:cs="Times New Roman"/>
          <w:sz w:val="24"/>
          <w:szCs w:val="24"/>
        </w:rPr>
        <w:softHyphen/>
        <w:t xml:space="preserve">–, tiek piemēroti starptautiskā līmenī atzīti klasificēšanas noteikumi. Tādējādi aptuveni 85 % no visām līdzšinējām </w:t>
      </w:r>
      <w:r w:rsidRPr="00627DB1">
        <w:rPr>
          <w:rFonts w:ascii="Times New Roman" w:hAnsi="Times New Roman" w:cs="Times New Roman"/>
          <w:i/>
          <w:sz w:val="24"/>
          <w:szCs w:val="24"/>
        </w:rPr>
        <w:t>in vitro</w:t>
      </w:r>
      <w:r w:rsidRPr="00627DB1">
        <w:rPr>
          <w:rFonts w:ascii="Times New Roman" w:hAnsi="Times New Roman" w:cs="Times New Roman"/>
          <w:sz w:val="24"/>
          <w:szCs w:val="24"/>
        </w:rPr>
        <w:t xml:space="preserve"> diagnostikas ierīcēm ir nepieciešama paziņotās struktūras iesaistīšana un pārraudzība. Regula nosaka stingrākas prasības attiecībā uz paziņoto struktūru izraudzīšanos, uzlabojot medicīnisko ierīču kompetento iestāžu un Eiropas Komisijas īstenoto kontroli un pārraudzību.</w:t>
      </w:r>
    </w:p>
    <w:p w14:paraId="2E6A9569" w14:textId="77777777" w:rsidR="00627DB1" w:rsidRPr="00627DB1" w:rsidRDefault="00627DB1" w:rsidP="00627DB1">
      <w:pPr>
        <w:pStyle w:val="NoSpacing"/>
        <w:jc w:val="both"/>
        <w:rPr>
          <w:rFonts w:ascii="Times New Roman" w:hAnsi="Times New Roman" w:cs="Times New Roman"/>
          <w:sz w:val="24"/>
          <w:szCs w:val="24"/>
        </w:rPr>
      </w:pPr>
    </w:p>
    <w:p w14:paraId="49F2A167" w14:textId="77777777" w:rsidR="00627DB1" w:rsidRPr="00627DB1" w:rsidRDefault="00627DB1" w:rsidP="00627DB1">
      <w:pPr>
        <w:pStyle w:val="NoSpacing"/>
        <w:jc w:val="both"/>
        <w:rPr>
          <w:rFonts w:ascii="Times New Roman" w:hAnsi="Times New Roman" w:cs="Times New Roman"/>
          <w:sz w:val="24"/>
          <w:szCs w:val="24"/>
        </w:rPr>
      </w:pPr>
      <w:r w:rsidRPr="00627DB1">
        <w:rPr>
          <w:rFonts w:ascii="Times New Roman" w:hAnsi="Times New Roman" w:cs="Times New Roman"/>
          <w:sz w:val="24"/>
          <w:szCs w:val="24"/>
        </w:rPr>
        <w:t xml:space="preserve">Saskaņā ar Regulas prasībām D klases </w:t>
      </w:r>
      <w:r w:rsidRPr="00627DB1">
        <w:rPr>
          <w:rFonts w:ascii="Times New Roman" w:hAnsi="Times New Roman" w:cs="Times New Roman"/>
          <w:i/>
          <w:sz w:val="24"/>
          <w:szCs w:val="24"/>
        </w:rPr>
        <w:t>in vitro</w:t>
      </w:r>
      <w:r w:rsidRPr="00627DB1">
        <w:rPr>
          <w:rFonts w:ascii="Times New Roman" w:hAnsi="Times New Roman" w:cs="Times New Roman"/>
          <w:sz w:val="24"/>
          <w:szCs w:val="24"/>
        </w:rPr>
        <w:t xml:space="preserve"> diagnostikas medicīnisko ierīču atbilstības novērtēšanā būs jāiesaistās ES references laboratorijai, lai pārbaudītu ražotāja norādīto ierīču veiktspēju un ierīču atbilstību piemērojamajām kopīgajām specifikācijām. Attiecībā uz inovatīvām D klases ierīcēm, kurām pašlaik nav kopīgo specifikāciju, neatkarīgām ekspertu grupām ir jādara zināmi savi viedokļi par ražotāja veiktspējas izvērtēšanas ziņojumu. Uz atsevišķām </w:t>
      </w:r>
      <w:r w:rsidRPr="00627DB1">
        <w:rPr>
          <w:rFonts w:ascii="Times New Roman" w:hAnsi="Times New Roman" w:cs="Times New Roman"/>
          <w:i/>
          <w:sz w:val="24"/>
          <w:szCs w:val="24"/>
        </w:rPr>
        <w:t>in vitro</w:t>
      </w:r>
      <w:r w:rsidRPr="00627DB1">
        <w:rPr>
          <w:rFonts w:ascii="Times New Roman" w:hAnsi="Times New Roman" w:cs="Times New Roman"/>
          <w:sz w:val="24"/>
          <w:szCs w:val="24"/>
        </w:rPr>
        <w:t xml:space="preserve"> diagnostikas D klases ierīcēm attiecas jauna veiktspējas izvērtēšanas konsultāciju procedūra, kas jāveic neatkarīgai ekspertu grupai, un pēc ES references laboratorijas izraudzīšanās šāda veida D klases ierīcēm tai ar laboratorisku testēšanu jāpārbauda ražotāja norādītā ierīces veiktspēja.</w:t>
      </w:r>
    </w:p>
    <w:p w14:paraId="7C26D876" w14:textId="77777777" w:rsidR="00627DB1" w:rsidRPr="00627DB1" w:rsidRDefault="00627DB1" w:rsidP="00627DB1">
      <w:pPr>
        <w:pStyle w:val="NoSpacing"/>
        <w:jc w:val="both"/>
        <w:rPr>
          <w:rFonts w:ascii="Times New Roman" w:hAnsi="Times New Roman" w:cs="Times New Roman"/>
          <w:sz w:val="24"/>
          <w:szCs w:val="24"/>
        </w:rPr>
      </w:pPr>
    </w:p>
    <w:p w14:paraId="794B2438" w14:textId="77777777" w:rsidR="00627DB1" w:rsidRPr="00627DB1" w:rsidRDefault="00627DB1" w:rsidP="00627DB1">
      <w:pPr>
        <w:pStyle w:val="NoSpacing"/>
        <w:jc w:val="both"/>
        <w:rPr>
          <w:rFonts w:ascii="Times New Roman" w:hAnsi="Times New Roman" w:cs="Times New Roman"/>
          <w:sz w:val="24"/>
          <w:szCs w:val="24"/>
        </w:rPr>
      </w:pPr>
      <w:r w:rsidRPr="00627DB1">
        <w:rPr>
          <w:rFonts w:ascii="Times New Roman" w:hAnsi="Times New Roman" w:cs="Times New Roman"/>
          <w:sz w:val="24"/>
          <w:szCs w:val="24"/>
        </w:rPr>
        <w:t>Regula nosaka stingrākas prasības arī attiecībā uz klīniskiem pierādījumiem un atbilstības novērtēšanu. Par kompanjondiagnostikas ierīcēm paziņotās struktūras apspriedīsies ar zāļu jomas kompetentajām iestādēm.</w:t>
      </w:r>
    </w:p>
    <w:p w14:paraId="52B97433" w14:textId="77777777" w:rsidR="00627DB1" w:rsidRPr="00627DB1" w:rsidRDefault="00627DB1" w:rsidP="00627DB1">
      <w:pPr>
        <w:pStyle w:val="NoSpacing"/>
        <w:jc w:val="both"/>
        <w:rPr>
          <w:rFonts w:ascii="Times New Roman" w:hAnsi="Times New Roman" w:cs="Times New Roman"/>
          <w:sz w:val="24"/>
          <w:szCs w:val="24"/>
        </w:rPr>
      </w:pPr>
    </w:p>
    <w:p w14:paraId="2FABAC1C" w14:textId="77777777" w:rsidR="00627DB1" w:rsidRPr="0093481F" w:rsidRDefault="00627DB1" w:rsidP="00627DB1">
      <w:pPr>
        <w:pStyle w:val="NoSpacing"/>
        <w:jc w:val="both"/>
        <w:rPr>
          <w:rFonts w:ascii="Times New Roman" w:hAnsi="Times New Roman" w:cs="Times New Roman"/>
          <w:sz w:val="24"/>
          <w:szCs w:val="24"/>
        </w:rPr>
      </w:pPr>
      <w:r w:rsidRPr="00627DB1">
        <w:rPr>
          <w:rFonts w:ascii="Times New Roman" w:hAnsi="Times New Roman" w:cs="Times New Roman"/>
          <w:sz w:val="24"/>
          <w:szCs w:val="24"/>
        </w:rPr>
        <w:t xml:space="preserve">Regula reglamentē prasības attiecībā uz pēctirgus veiktspējas pēckontroli, lai vajadzības gadījumā atjauninātu veiktspējas izvērtējumu visā </w:t>
      </w:r>
      <w:r w:rsidRPr="00627DB1">
        <w:rPr>
          <w:rFonts w:ascii="Times New Roman" w:hAnsi="Times New Roman" w:cs="Times New Roman"/>
          <w:i/>
          <w:sz w:val="24"/>
          <w:szCs w:val="24"/>
        </w:rPr>
        <w:t>in vitro</w:t>
      </w:r>
      <w:r w:rsidRPr="00627DB1">
        <w:rPr>
          <w:rFonts w:ascii="Times New Roman" w:hAnsi="Times New Roman" w:cs="Times New Roman"/>
          <w:sz w:val="24"/>
          <w:szCs w:val="24"/>
        </w:rPr>
        <w:t xml:space="preserve"> diagnostikas medicīniskās ierīces d</w:t>
      </w:r>
      <w:r w:rsidRPr="0093481F">
        <w:rPr>
          <w:rFonts w:ascii="Times New Roman" w:hAnsi="Times New Roman" w:cs="Times New Roman"/>
          <w:sz w:val="24"/>
          <w:szCs w:val="24"/>
        </w:rPr>
        <w:t>zīves ciklā.</w:t>
      </w:r>
    </w:p>
    <w:p w14:paraId="67F67101" w14:textId="77777777" w:rsidR="00627DB1" w:rsidRPr="0093481F" w:rsidRDefault="00627DB1" w:rsidP="00627DB1">
      <w:pPr>
        <w:pStyle w:val="NoSpacing"/>
        <w:jc w:val="both"/>
        <w:rPr>
          <w:rFonts w:ascii="Times New Roman" w:hAnsi="Times New Roman" w:cs="Times New Roman"/>
          <w:sz w:val="24"/>
          <w:szCs w:val="24"/>
        </w:rPr>
      </w:pPr>
    </w:p>
    <w:p w14:paraId="745A3476" w14:textId="77777777" w:rsidR="00627DB1" w:rsidRPr="00627DB1" w:rsidRDefault="00627DB1" w:rsidP="00627DB1">
      <w:pPr>
        <w:pStyle w:val="NoSpacing"/>
        <w:jc w:val="both"/>
        <w:rPr>
          <w:rFonts w:ascii="Times New Roman" w:hAnsi="Times New Roman" w:cs="Times New Roman"/>
          <w:sz w:val="24"/>
          <w:szCs w:val="24"/>
        </w:rPr>
      </w:pPr>
      <w:r w:rsidRPr="0093481F">
        <w:rPr>
          <w:rFonts w:ascii="Times New Roman" w:hAnsi="Times New Roman" w:cs="Times New Roman"/>
          <w:sz w:val="24"/>
          <w:szCs w:val="24"/>
        </w:rPr>
        <w:t xml:space="preserve">Lai netraucēti piemērotu jauno regulu un izvairītos no tirgus traucējumiem, ir ieviesti vairāki pārejas noteikumi. Piemēram, </w:t>
      </w:r>
      <w:r w:rsidRPr="0093481F">
        <w:rPr>
          <w:rFonts w:ascii="Times New Roman" w:hAnsi="Times New Roman" w:cs="Times New Roman"/>
          <w:i/>
          <w:sz w:val="24"/>
          <w:szCs w:val="24"/>
        </w:rPr>
        <w:t>in vitro</w:t>
      </w:r>
      <w:r w:rsidRPr="0093481F">
        <w:rPr>
          <w:rFonts w:ascii="Times New Roman" w:hAnsi="Times New Roman" w:cs="Times New Roman"/>
          <w:sz w:val="24"/>
          <w:szCs w:val="24"/>
        </w:rPr>
        <w:t xml:space="preserve"> diagnostikas medicīniskās ierīces, kuru atbilstības novērtēšanas procedūrā saskaņā ar līdz šim spēkā esošo Direktīvu 98/79/EK nebija jāiesaista paziņotā struktūra un par kurām EK atbilstības deklarācija</w:t>
      </w:r>
      <w:r w:rsidRPr="00627DB1">
        <w:rPr>
          <w:rFonts w:ascii="Times New Roman" w:hAnsi="Times New Roman" w:cs="Times New Roman"/>
          <w:sz w:val="24"/>
          <w:szCs w:val="24"/>
        </w:rPr>
        <w:t xml:space="preserve"> saskaņā ar Direktīvu 98/79/EK sagatavota pirms 2022. gada 26. maija, bet kuru atbilstības novērtēšanas procedūrā saskaņā </w:t>
      </w:r>
      <w:r w:rsidRPr="00627DB1">
        <w:rPr>
          <w:rFonts w:ascii="Times New Roman" w:hAnsi="Times New Roman" w:cs="Times New Roman"/>
          <w:sz w:val="24"/>
          <w:szCs w:val="24"/>
        </w:rPr>
        <w:lastRenderedPageBreak/>
        <w:t>Regulu ir jāiesaista paziņotā struktūra, drīkst laist tirgū vai nodot ekspluatācijā līdz šādiem datumiem: D klases ierīces – līdz 2025. gada 26. maijam, C klases ierīces – līdz 2026. gada 26. maijam, A un B klases ierīces – līdz 2027. gada 26. maijam.</w:t>
      </w:r>
    </w:p>
    <w:p w14:paraId="439B91CC" w14:textId="77777777" w:rsidR="00627DB1" w:rsidRPr="00627DB1" w:rsidRDefault="00627DB1" w:rsidP="00627DB1">
      <w:pPr>
        <w:pStyle w:val="NoSpacing"/>
        <w:jc w:val="both"/>
        <w:rPr>
          <w:rFonts w:ascii="Times New Roman" w:hAnsi="Times New Roman" w:cs="Times New Roman"/>
          <w:sz w:val="24"/>
          <w:szCs w:val="24"/>
        </w:rPr>
      </w:pPr>
    </w:p>
    <w:p w14:paraId="42350D8F" w14:textId="77777777" w:rsidR="00627DB1" w:rsidRPr="00627DB1" w:rsidRDefault="00627DB1" w:rsidP="00791313">
      <w:pPr>
        <w:pStyle w:val="NoSpacing"/>
        <w:rPr>
          <w:rFonts w:ascii="Times New Roman" w:hAnsi="Times New Roman" w:cs="Times New Roman"/>
          <w:noProof/>
          <w:sz w:val="24"/>
          <w:szCs w:val="24"/>
        </w:rPr>
      </w:pPr>
      <w:r w:rsidRPr="00627DB1">
        <w:rPr>
          <w:rFonts w:ascii="Times New Roman" w:hAnsi="Times New Roman" w:cs="Times New Roman"/>
          <w:noProof/>
          <w:sz w:val="24"/>
          <w:szCs w:val="24"/>
        </w:rPr>
        <w:t xml:space="preserve">Jautājumus par jaunās regulas piemērošanu iespējams uzdot, rakstot e-pastu uz </w:t>
      </w:r>
    </w:p>
    <w:p w14:paraId="0856079C" w14:textId="670077AD" w:rsidR="00627DB1" w:rsidRPr="00627DB1" w:rsidRDefault="00627DB1" w:rsidP="00627DB1">
      <w:pPr>
        <w:pStyle w:val="NoSpacing"/>
        <w:jc w:val="both"/>
        <w:rPr>
          <w:rFonts w:ascii="Times New Roman" w:hAnsi="Times New Roman" w:cs="Times New Roman"/>
          <w:noProof/>
          <w:color w:val="002060"/>
          <w:sz w:val="24"/>
          <w:szCs w:val="24"/>
        </w:rPr>
      </w:pPr>
      <w:r w:rsidRPr="00627DB1">
        <w:rPr>
          <w:rFonts w:ascii="Times New Roman" w:hAnsi="Times New Roman" w:cs="Times New Roman"/>
          <w:noProof/>
          <w:color w:val="002060"/>
          <w:sz w:val="24"/>
          <w:szCs w:val="24"/>
        </w:rPr>
        <w:t>mi-regulas@zva.gov.lv</w:t>
      </w:r>
      <w:r w:rsidR="00791313">
        <w:rPr>
          <w:rFonts w:ascii="Times New Roman" w:hAnsi="Times New Roman" w:cs="Times New Roman"/>
          <w:noProof/>
          <w:color w:val="002060"/>
          <w:sz w:val="24"/>
          <w:szCs w:val="24"/>
        </w:rPr>
        <w:t>.</w:t>
      </w:r>
    </w:p>
    <w:p w14:paraId="676EAB49" w14:textId="60398DA9" w:rsidR="00627DB1" w:rsidRPr="005C641C" w:rsidRDefault="00627DB1" w:rsidP="00627DB1">
      <w:pPr>
        <w:tabs>
          <w:tab w:val="left" w:pos="3345"/>
        </w:tabs>
        <w:jc w:val="both"/>
        <w:rPr>
          <w:rFonts w:ascii="Times New Roman" w:hAnsi="Times New Roman" w:cs="Times New Roman"/>
          <w:sz w:val="24"/>
          <w:szCs w:val="24"/>
        </w:rPr>
      </w:pPr>
      <w:r w:rsidRPr="005C641C">
        <w:rPr>
          <w:rFonts w:ascii="Times New Roman" w:hAnsi="Times New Roman" w:cs="Times New Roman"/>
          <w:sz w:val="24"/>
          <w:szCs w:val="24"/>
        </w:rPr>
        <w:t>___________________________________________________________________________</w:t>
      </w:r>
    </w:p>
    <w:p w14:paraId="1BADF187" w14:textId="390D54EC" w:rsidR="00627DB1" w:rsidRPr="0093481F" w:rsidRDefault="00627DB1" w:rsidP="00627DB1">
      <w:pPr>
        <w:pStyle w:val="NoSpacing"/>
        <w:jc w:val="both"/>
        <w:rPr>
          <w:rFonts w:ascii="Times New Roman" w:hAnsi="Times New Roman" w:cs="Times New Roman"/>
          <w:sz w:val="24"/>
          <w:szCs w:val="24"/>
        </w:rPr>
      </w:pPr>
      <w:r w:rsidRPr="0093481F">
        <w:rPr>
          <w:rFonts w:ascii="Times New Roman" w:hAnsi="Times New Roman" w:cs="Times New Roman"/>
          <w:sz w:val="24"/>
          <w:szCs w:val="24"/>
        </w:rPr>
        <w:t>*</w:t>
      </w:r>
      <w:r w:rsidR="0093481F" w:rsidRPr="0093481F">
        <w:rPr>
          <w:rFonts w:ascii="Times New Roman" w:hAnsi="Times New Roman" w:cs="Times New Roman"/>
          <w:sz w:val="24"/>
          <w:szCs w:val="24"/>
        </w:rPr>
        <w:t xml:space="preserve"> </w:t>
      </w:r>
      <w:r w:rsidRPr="0093481F">
        <w:rPr>
          <w:rFonts w:ascii="Times New Roman" w:hAnsi="Times New Roman" w:cs="Times New Roman"/>
          <w:sz w:val="24"/>
          <w:szCs w:val="24"/>
        </w:rPr>
        <w:t xml:space="preserve">No šī gada 26. maijā sāk piemērot </w:t>
      </w:r>
      <w:r w:rsidRPr="0093481F">
        <w:rPr>
          <w:rFonts w:ascii="Times New Roman" w:hAnsi="Times New Roman" w:cs="Times New Roman"/>
          <w:noProof/>
          <w:sz w:val="24"/>
          <w:szCs w:val="24"/>
        </w:rPr>
        <w:t xml:space="preserve">Eiropas Parlamenta un Padomes 2017. gada 5. aprīļa Regulu (ES) 2017/746, kas attiecas uz </w:t>
      </w:r>
      <w:r w:rsidRPr="0093481F">
        <w:rPr>
          <w:rFonts w:ascii="Times New Roman" w:hAnsi="Times New Roman" w:cs="Times New Roman"/>
          <w:i/>
          <w:sz w:val="24"/>
          <w:szCs w:val="24"/>
        </w:rPr>
        <w:t>in vitro</w:t>
      </w:r>
      <w:r w:rsidRPr="0093481F">
        <w:rPr>
          <w:rFonts w:ascii="Times New Roman" w:hAnsi="Times New Roman" w:cs="Times New Roman"/>
          <w:sz w:val="24"/>
          <w:szCs w:val="24"/>
        </w:rPr>
        <w:t xml:space="preserve"> diagnostikas medicīniskām ierīcēm un ar ko  atceļ Direktīvu 98/79/EK un Komisijas Lēmumu 2010/227/ES. </w:t>
      </w:r>
    </w:p>
    <w:p w14:paraId="56EEFD90" w14:textId="77777777" w:rsidR="0093481F" w:rsidRPr="0093481F" w:rsidRDefault="0093481F" w:rsidP="0093481F">
      <w:pPr>
        <w:spacing w:after="0" w:line="240" w:lineRule="auto"/>
        <w:rPr>
          <w:rFonts w:ascii="Times New Roman" w:eastAsia="Times New Roman" w:hAnsi="Times New Roman" w:cs="Times New Roman"/>
          <w:b/>
          <w:bCs/>
          <w:i/>
          <w:iCs/>
          <w:sz w:val="24"/>
          <w:szCs w:val="24"/>
          <w:lang w:val="lv-LV" w:eastAsia="lv-LV"/>
        </w:rPr>
      </w:pPr>
    </w:p>
    <w:p w14:paraId="0628BC77" w14:textId="160781DA" w:rsidR="0093481F" w:rsidRPr="0093481F" w:rsidRDefault="0093481F" w:rsidP="0093481F">
      <w:pPr>
        <w:spacing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
          <w:bCs/>
          <w:i/>
          <w:iCs/>
          <w:sz w:val="24"/>
          <w:szCs w:val="24"/>
          <w:lang w:val="lv-LV" w:eastAsia="lv-LV"/>
        </w:rPr>
        <w:t xml:space="preserve">** </w:t>
      </w:r>
      <w:r w:rsidRPr="0093481F">
        <w:rPr>
          <w:rFonts w:ascii="Times New Roman" w:eastAsia="Times New Roman" w:hAnsi="Times New Roman" w:cs="Times New Roman"/>
          <w:b/>
          <w:bCs/>
          <w:i/>
          <w:iCs/>
          <w:sz w:val="24"/>
          <w:szCs w:val="24"/>
          <w:lang w:val="lv-LV" w:eastAsia="lv-LV"/>
        </w:rPr>
        <w:t>in vitro</w:t>
      </w:r>
      <w:r w:rsidRPr="0093481F">
        <w:rPr>
          <w:rFonts w:ascii="Times New Roman" w:eastAsia="Times New Roman" w:hAnsi="Times New Roman" w:cs="Times New Roman"/>
          <w:b/>
          <w:bCs/>
          <w:sz w:val="24"/>
          <w:szCs w:val="24"/>
          <w:lang w:val="lv-LV" w:eastAsia="lv-LV"/>
        </w:rPr>
        <w:t xml:space="preserve"> diagnostikas medicīniska ierīce</w:t>
      </w:r>
      <w:r w:rsidRPr="0093481F">
        <w:rPr>
          <w:rFonts w:ascii="Times New Roman" w:eastAsia="Times New Roman" w:hAnsi="Times New Roman" w:cs="Times New Roman"/>
          <w:sz w:val="24"/>
          <w:szCs w:val="24"/>
          <w:lang w:val="lv-LV" w:eastAsia="lv-LV"/>
        </w:rPr>
        <w:t xml:space="preserve"> ir jebkura medicīniska ierīce, kas ir reaģents, reaģenta produkts, kalibrators, kontroles materiāls, komplekts, instruments, aparāts, aprīkojuma daļa, programmatūra vai sistēma, ko lieto atsevišķi vai kombinācijā ar citām ierīcēm un ko ražotājs paredzējis lietot </w:t>
      </w:r>
      <w:r w:rsidRPr="0093481F">
        <w:rPr>
          <w:rFonts w:ascii="Times New Roman" w:eastAsia="Times New Roman" w:hAnsi="Times New Roman" w:cs="Times New Roman"/>
          <w:i/>
          <w:iCs/>
          <w:sz w:val="24"/>
          <w:szCs w:val="24"/>
          <w:lang w:val="lv-LV" w:eastAsia="lv-LV"/>
        </w:rPr>
        <w:t>in vitro</w:t>
      </w:r>
      <w:r w:rsidRPr="0093481F">
        <w:rPr>
          <w:rFonts w:ascii="Times New Roman" w:eastAsia="Times New Roman" w:hAnsi="Times New Roman" w:cs="Times New Roman"/>
          <w:sz w:val="24"/>
          <w:szCs w:val="24"/>
          <w:lang w:val="lv-LV" w:eastAsia="lv-LV"/>
        </w:rPr>
        <w:t>, lai pētītu no cilvēka ķermeņa iegūtus paraugus, tai skaitā nodotās asinis un audus, vienīgi vai galvenokārt nolūkā nodrošināt informāciju par vienu vai vairākiem šādiem elementiem:  </w:t>
      </w:r>
    </w:p>
    <w:p w14:paraId="63D2CC2A"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a) par kādu fizioloģisku vai patoloģisku procesu vai stāvokli;  </w:t>
      </w:r>
    </w:p>
    <w:p w14:paraId="28EF442C"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b) par iedzimtiem fiziskiem vai garīgiem traucējumiem;  </w:t>
      </w:r>
    </w:p>
    <w:p w14:paraId="7E170873"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c) par noslieci uz medicīnisku stāvokli vai slimību;  </w:t>
      </w:r>
    </w:p>
    <w:p w14:paraId="54AC1405"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d) lai noteiktu drošību un saderību ar potenciāliem recipientiem;  </w:t>
      </w:r>
    </w:p>
    <w:p w14:paraId="6888E18D"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e) lai prognozētu ārstēšanas ietekmi vai reakciju uz ārstēšanu;  </w:t>
      </w:r>
    </w:p>
    <w:p w14:paraId="6641C0FA"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f) lai noteiktu vai kontrolētu terapeitiskos pasākumus. </w:t>
      </w:r>
    </w:p>
    <w:p w14:paraId="03952019"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w:t>
      </w:r>
    </w:p>
    <w:p w14:paraId="0AFD1A6E"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xml:space="preserve">Paraugu traukus arī uzskata par </w:t>
      </w:r>
      <w:r w:rsidRPr="0093481F">
        <w:rPr>
          <w:rFonts w:ascii="Times New Roman" w:eastAsia="Times New Roman" w:hAnsi="Times New Roman" w:cs="Times New Roman"/>
          <w:i/>
          <w:iCs/>
          <w:sz w:val="24"/>
          <w:szCs w:val="24"/>
          <w:lang w:val="lv-LV" w:eastAsia="lv-LV"/>
        </w:rPr>
        <w:t>in vitro</w:t>
      </w:r>
      <w:r w:rsidRPr="0093481F">
        <w:rPr>
          <w:rFonts w:ascii="Times New Roman" w:eastAsia="Times New Roman" w:hAnsi="Times New Roman" w:cs="Times New Roman"/>
          <w:sz w:val="24"/>
          <w:szCs w:val="24"/>
          <w:lang w:val="lv-LV" w:eastAsia="lv-LV"/>
        </w:rPr>
        <w:t xml:space="preserve"> diagnostikas medicīniskām ierīcēm. </w:t>
      </w:r>
    </w:p>
    <w:p w14:paraId="2AEB9C0B"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p>
    <w:p w14:paraId="2BCE20AC"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xml:space="preserve">Daži </w:t>
      </w:r>
      <w:r w:rsidRPr="0093481F">
        <w:rPr>
          <w:rFonts w:ascii="Times New Roman" w:eastAsia="Times New Roman" w:hAnsi="Times New Roman" w:cs="Times New Roman"/>
          <w:i/>
          <w:iCs/>
          <w:sz w:val="24"/>
          <w:szCs w:val="24"/>
          <w:shd w:val="clear" w:color="auto" w:fill="FFFFFF"/>
          <w:lang w:val="lv-LV" w:eastAsia="lv-LV"/>
        </w:rPr>
        <w:t>in vitro</w:t>
      </w:r>
      <w:r w:rsidRPr="0093481F">
        <w:rPr>
          <w:rFonts w:ascii="Times New Roman" w:eastAsia="Times New Roman" w:hAnsi="Times New Roman" w:cs="Times New Roman"/>
          <w:sz w:val="24"/>
          <w:szCs w:val="24"/>
          <w:shd w:val="clear" w:color="auto" w:fill="FFFFFF"/>
          <w:lang w:val="lv-LV" w:eastAsia="lv-LV"/>
        </w:rPr>
        <w:t> diagnostikas medicīnisko ierīču </w:t>
      </w:r>
      <w:r w:rsidRPr="0093481F">
        <w:rPr>
          <w:rFonts w:ascii="Times New Roman" w:eastAsia="Times New Roman" w:hAnsi="Times New Roman" w:cs="Times New Roman"/>
          <w:sz w:val="24"/>
          <w:szCs w:val="24"/>
          <w:lang w:val="lv-LV" w:eastAsia="lv-LV"/>
        </w:rPr>
        <w:t>piemēri: </w:t>
      </w:r>
    </w:p>
    <w:p w14:paraId="1DC835B0"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SARS-CoV-2 antigēna ātrie pašpārbaudes testi (paštesti), </w:t>
      </w:r>
    </w:p>
    <w:p w14:paraId="24C05431"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reaģenti asins grupu noteikšanai, </w:t>
      </w:r>
    </w:p>
    <w:p w14:paraId="016A9892"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molekulārie ģenētiskie testi, </w:t>
      </w:r>
    </w:p>
    <w:p w14:paraId="716BD86D"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lang w:val="lv-LV" w:eastAsia="lv-LV"/>
        </w:rPr>
        <w:t>- laboratorijas analizatoru sistēmas, kas paredzētas noteiktu </w:t>
      </w:r>
      <w:r w:rsidRPr="0093481F">
        <w:rPr>
          <w:rFonts w:ascii="Times New Roman" w:eastAsia="Times New Roman" w:hAnsi="Times New Roman" w:cs="Times New Roman"/>
          <w:i/>
          <w:iCs/>
          <w:sz w:val="24"/>
          <w:szCs w:val="24"/>
          <w:shd w:val="clear" w:color="auto" w:fill="FFFFFF"/>
          <w:lang w:val="lv-LV" w:eastAsia="lv-LV"/>
        </w:rPr>
        <w:t>in vitro</w:t>
      </w:r>
      <w:r w:rsidRPr="0093481F">
        <w:rPr>
          <w:rFonts w:ascii="Times New Roman" w:eastAsia="Times New Roman" w:hAnsi="Times New Roman" w:cs="Times New Roman"/>
          <w:sz w:val="24"/>
          <w:szCs w:val="24"/>
          <w:shd w:val="clear" w:color="auto" w:fill="FFFFFF"/>
          <w:lang w:val="lv-LV" w:eastAsia="lv-LV"/>
        </w:rPr>
        <w:t> diagnostikas testu veikšanai, </w:t>
      </w:r>
    </w:p>
    <w:p w14:paraId="515AC110" w14:textId="77777777" w:rsidR="0093481F" w:rsidRPr="0093481F" w:rsidRDefault="0093481F" w:rsidP="0093481F">
      <w:pPr>
        <w:spacing w:after="0" w:line="240" w:lineRule="auto"/>
        <w:rPr>
          <w:rFonts w:ascii="Times New Roman" w:eastAsia="Times New Roman" w:hAnsi="Times New Roman" w:cs="Times New Roman"/>
          <w:sz w:val="24"/>
          <w:szCs w:val="24"/>
          <w:lang w:val="lv-LV" w:eastAsia="lv-LV"/>
        </w:rPr>
      </w:pPr>
      <w:r w:rsidRPr="0093481F">
        <w:rPr>
          <w:rFonts w:ascii="Times New Roman" w:eastAsia="Times New Roman" w:hAnsi="Times New Roman" w:cs="Times New Roman"/>
          <w:sz w:val="24"/>
          <w:szCs w:val="24"/>
          <w:shd w:val="clear" w:color="auto" w:fill="FFFFFF"/>
          <w:lang w:val="lv-LV" w:eastAsia="lv-LV"/>
        </w:rPr>
        <w:t>- programmatūra ar integrētu daudzskaitlīgu gēnu genotipu, lai noteiktu konkrētas slimības vai medicīniskā stāvokļa attīstības risku.</w:t>
      </w:r>
      <w:r w:rsidRPr="0093481F">
        <w:rPr>
          <w:rFonts w:ascii="Times New Roman" w:eastAsia="Times New Roman" w:hAnsi="Times New Roman" w:cs="Times New Roman"/>
          <w:sz w:val="24"/>
          <w:szCs w:val="24"/>
          <w:lang w:val="lv-LV" w:eastAsia="lv-LV"/>
        </w:rPr>
        <w:t>   </w:t>
      </w:r>
    </w:p>
    <w:p w14:paraId="7B1791FE" w14:textId="77777777" w:rsidR="00627DB1" w:rsidRPr="005C641C" w:rsidRDefault="00627DB1" w:rsidP="00627DB1">
      <w:pPr>
        <w:tabs>
          <w:tab w:val="left" w:pos="3345"/>
        </w:tabs>
        <w:jc w:val="both"/>
        <w:rPr>
          <w:rFonts w:ascii="Times New Roman" w:hAnsi="Times New Roman" w:cs="Times New Roman"/>
          <w:sz w:val="24"/>
          <w:szCs w:val="24"/>
        </w:rPr>
      </w:pPr>
    </w:p>
    <w:p w14:paraId="2320CCB6" w14:textId="77777777" w:rsidR="00423BB5" w:rsidRPr="00627DB1" w:rsidRDefault="00423BB5">
      <w:pPr>
        <w:rPr>
          <w:rFonts w:ascii="Times New Roman" w:hAnsi="Times New Roman" w:cs="Times New Roman"/>
          <w:sz w:val="24"/>
          <w:szCs w:val="24"/>
          <w:lang w:val="lv-LV"/>
        </w:rPr>
      </w:pPr>
    </w:p>
    <w:p w14:paraId="696A05A0" w14:textId="77777777" w:rsidR="00A600A9" w:rsidRPr="00627DB1" w:rsidRDefault="00A600A9" w:rsidP="00A600A9">
      <w:pPr>
        <w:pStyle w:val="text-align-center"/>
        <w:spacing w:before="0" w:beforeAutospacing="0" w:after="0" w:afterAutospacing="0"/>
        <w:jc w:val="both"/>
        <w:rPr>
          <w:b/>
          <w:bCs/>
        </w:rPr>
      </w:pPr>
      <w:r w:rsidRPr="00627DB1">
        <w:rPr>
          <w:b/>
          <w:bCs/>
        </w:rPr>
        <w:t>Papildu informācijai</w:t>
      </w:r>
    </w:p>
    <w:p w14:paraId="28D221E5" w14:textId="77777777" w:rsidR="00526FDA" w:rsidRPr="00627DB1" w:rsidRDefault="00A600A9" w:rsidP="00A600A9">
      <w:pPr>
        <w:pStyle w:val="text-align-center"/>
        <w:spacing w:before="0" w:beforeAutospacing="0" w:after="0" w:afterAutospacing="0"/>
        <w:jc w:val="both"/>
      </w:pPr>
      <w:r w:rsidRPr="00627DB1">
        <w:t xml:space="preserve">Dita Okmane, </w:t>
      </w:r>
    </w:p>
    <w:p w14:paraId="49253580" w14:textId="77777777" w:rsidR="00526FDA" w:rsidRPr="00627DB1" w:rsidRDefault="00A600A9" w:rsidP="00A600A9">
      <w:pPr>
        <w:pStyle w:val="text-align-center"/>
        <w:spacing w:before="0" w:beforeAutospacing="0" w:after="0" w:afterAutospacing="0"/>
        <w:jc w:val="both"/>
      </w:pPr>
      <w:r w:rsidRPr="00627DB1">
        <w:t xml:space="preserve">Zāļu valsts aģentūras </w:t>
      </w:r>
    </w:p>
    <w:p w14:paraId="2366B094" w14:textId="206B22DD" w:rsidR="00A600A9" w:rsidRPr="00627DB1" w:rsidRDefault="00A600A9" w:rsidP="00A600A9">
      <w:pPr>
        <w:pStyle w:val="text-align-center"/>
        <w:spacing w:before="0" w:beforeAutospacing="0" w:after="0" w:afterAutospacing="0"/>
        <w:jc w:val="both"/>
      </w:pPr>
      <w:r w:rsidRPr="00627DB1">
        <w:t xml:space="preserve">Sabiedrisko attiecību nodaļas vadītāja </w:t>
      </w:r>
    </w:p>
    <w:p w14:paraId="2A91A5C4" w14:textId="77777777" w:rsidR="00526FDA" w:rsidRPr="00627DB1" w:rsidRDefault="00A600A9" w:rsidP="00A600A9">
      <w:pPr>
        <w:pStyle w:val="text-align-center"/>
        <w:spacing w:before="0" w:beforeAutospacing="0" w:after="0" w:afterAutospacing="0"/>
        <w:jc w:val="both"/>
      </w:pPr>
      <w:r w:rsidRPr="00627DB1">
        <w:t xml:space="preserve">Tālr. 67078422, 25400181, </w:t>
      </w:r>
    </w:p>
    <w:p w14:paraId="3590F55C" w14:textId="338258B3" w:rsidR="00A600A9" w:rsidRPr="00627DB1" w:rsidRDefault="00A600A9" w:rsidP="00A600A9">
      <w:pPr>
        <w:pStyle w:val="text-align-center"/>
        <w:spacing w:before="0" w:beforeAutospacing="0" w:after="0" w:afterAutospacing="0"/>
        <w:jc w:val="both"/>
      </w:pPr>
      <w:r w:rsidRPr="00627DB1">
        <w:t>E-pasts: Dita.Okmane@zva.gov.lv</w:t>
      </w:r>
    </w:p>
    <w:p w14:paraId="57E0E2CF" w14:textId="77777777" w:rsidR="00A600A9" w:rsidRPr="00627DB1" w:rsidRDefault="00A600A9">
      <w:pPr>
        <w:rPr>
          <w:rFonts w:ascii="Times New Roman" w:hAnsi="Times New Roman" w:cs="Times New Roman"/>
          <w:sz w:val="24"/>
          <w:szCs w:val="24"/>
          <w:lang w:val="lv-LV"/>
        </w:rPr>
      </w:pPr>
    </w:p>
    <w:p w14:paraId="2A20C684" w14:textId="77777777" w:rsidR="00A600A9" w:rsidRPr="00627DB1" w:rsidRDefault="00A600A9">
      <w:pPr>
        <w:rPr>
          <w:rFonts w:ascii="Times New Roman" w:hAnsi="Times New Roman" w:cs="Times New Roman"/>
          <w:sz w:val="24"/>
          <w:szCs w:val="24"/>
          <w:lang w:val="lv-LV"/>
        </w:rPr>
      </w:pPr>
    </w:p>
    <w:sectPr w:rsidR="00A600A9" w:rsidRPr="00627DB1">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6145" w14:textId="77777777" w:rsidR="007E4D5B" w:rsidRDefault="007E4D5B" w:rsidP="00A600A9">
      <w:pPr>
        <w:spacing w:after="0" w:line="240" w:lineRule="auto"/>
      </w:pPr>
      <w:r>
        <w:separator/>
      </w:r>
    </w:p>
  </w:endnote>
  <w:endnote w:type="continuationSeparator" w:id="0">
    <w:p w14:paraId="6535DD1B" w14:textId="77777777" w:rsidR="007E4D5B" w:rsidRDefault="007E4D5B" w:rsidP="00A60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57AA" w14:textId="77777777" w:rsidR="007E4D5B" w:rsidRDefault="007E4D5B" w:rsidP="00A600A9">
      <w:pPr>
        <w:spacing w:after="0" w:line="240" w:lineRule="auto"/>
      </w:pPr>
      <w:r>
        <w:separator/>
      </w:r>
    </w:p>
  </w:footnote>
  <w:footnote w:type="continuationSeparator" w:id="0">
    <w:p w14:paraId="237B6811" w14:textId="77777777" w:rsidR="007E4D5B" w:rsidRDefault="007E4D5B" w:rsidP="00A60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B9AA" w14:textId="6B251071" w:rsidR="00A600A9" w:rsidRDefault="00A600A9">
    <w:pPr>
      <w:pStyle w:val="Header"/>
    </w:pPr>
    <w:r w:rsidRPr="009318CB">
      <w:rPr>
        <w:noProof/>
        <w:lang w:val="en-US"/>
      </w:rPr>
      <w:drawing>
        <wp:anchor distT="0" distB="0" distL="114300" distR="114300" simplePos="0" relativeHeight="251659264" behindDoc="1" locked="0" layoutInCell="1" allowOverlap="1" wp14:anchorId="456C7E98" wp14:editId="6D82E90D">
          <wp:simplePos x="0" y="0"/>
          <wp:positionH relativeFrom="margin">
            <wp:align>center</wp:align>
          </wp:positionH>
          <wp:positionV relativeFrom="paragraph">
            <wp:posOffset>-210185</wp:posOffset>
          </wp:positionV>
          <wp:extent cx="647700" cy="542290"/>
          <wp:effectExtent l="0" t="0" r="0" b="0"/>
          <wp:wrapThrough wrapText="bothSides">
            <wp:wrapPolygon edited="0">
              <wp:start x="0" y="0"/>
              <wp:lineTo x="0" y="20487"/>
              <wp:lineTo x="20965" y="20487"/>
              <wp:lineTo x="20965" y="0"/>
              <wp:lineTo x="0" y="0"/>
            </wp:wrapPolygon>
          </wp:wrapThrough>
          <wp:docPr id="5" name="Picture 5" descr="Attēlu rezultāti vaicājumam “zāļu valsts aģentū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ēlu rezultāti vaicājumam “zāļu valsts aģentūr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54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74996" w14:textId="77777777" w:rsidR="00A600A9" w:rsidRDefault="00A60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A9"/>
    <w:rsid w:val="00047E25"/>
    <w:rsid w:val="00054DEB"/>
    <w:rsid w:val="001A67BF"/>
    <w:rsid w:val="00211F42"/>
    <w:rsid w:val="0026536E"/>
    <w:rsid w:val="00273F87"/>
    <w:rsid w:val="002A38F0"/>
    <w:rsid w:val="002E6B85"/>
    <w:rsid w:val="00315459"/>
    <w:rsid w:val="0040252B"/>
    <w:rsid w:val="00423BB5"/>
    <w:rsid w:val="00442D93"/>
    <w:rsid w:val="00443D69"/>
    <w:rsid w:val="00473CD5"/>
    <w:rsid w:val="004B4A47"/>
    <w:rsid w:val="004F5B87"/>
    <w:rsid w:val="00507738"/>
    <w:rsid w:val="00526FDA"/>
    <w:rsid w:val="005C641C"/>
    <w:rsid w:val="005F63EF"/>
    <w:rsid w:val="00627A58"/>
    <w:rsid w:val="00627DB1"/>
    <w:rsid w:val="00696B28"/>
    <w:rsid w:val="00791313"/>
    <w:rsid w:val="007E4D5B"/>
    <w:rsid w:val="00876A53"/>
    <w:rsid w:val="0093481F"/>
    <w:rsid w:val="00A600A9"/>
    <w:rsid w:val="00A63308"/>
    <w:rsid w:val="00B913B3"/>
    <w:rsid w:val="00BD4DD4"/>
    <w:rsid w:val="00C20AF4"/>
    <w:rsid w:val="00C24F24"/>
    <w:rsid w:val="00D1193E"/>
    <w:rsid w:val="00D320FF"/>
    <w:rsid w:val="00D77949"/>
    <w:rsid w:val="00DA3A3C"/>
    <w:rsid w:val="00DC1500"/>
    <w:rsid w:val="00DC2E99"/>
    <w:rsid w:val="00DD5601"/>
    <w:rsid w:val="00E06DBE"/>
    <w:rsid w:val="00E31352"/>
    <w:rsid w:val="00EA174B"/>
    <w:rsid w:val="00EA1B8C"/>
    <w:rsid w:val="00F37E4E"/>
    <w:rsid w:val="00F71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298F"/>
  <w15:chartTrackingRefBased/>
  <w15:docId w15:val="{5CF8FA60-7544-4195-9EAB-696C03D0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0A9"/>
    <w:pPr>
      <w:tabs>
        <w:tab w:val="center" w:pos="4513"/>
        <w:tab w:val="right" w:pos="9026"/>
      </w:tabs>
      <w:spacing w:after="0" w:line="240" w:lineRule="auto"/>
    </w:pPr>
    <w:rPr>
      <w:lang w:val="lv-LV"/>
    </w:rPr>
  </w:style>
  <w:style w:type="character" w:customStyle="1" w:styleId="HeaderChar">
    <w:name w:val="Header Char"/>
    <w:basedOn w:val="DefaultParagraphFont"/>
    <w:link w:val="Header"/>
    <w:uiPriority w:val="99"/>
    <w:rsid w:val="00A600A9"/>
  </w:style>
  <w:style w:type="paragraph" w:styleId="Footer">
    <w:name w:val="footer"/>
    <w:basedOn w:val="Normal"/>
    <w:link w:val="FooterChar"/>
    <w:uiPriority w:val="99"/>
    <w:unhideWhenUsed/>
    <w:rsid w:val="00A600A9"/>
    <w:pPr>
      <w:tabs>
        <w:tab w:val="center" w:pos="4513"/>
        <w:tab w:val="right" w:pos="9026"/>
      </w:tabs>
      <w:spacing w:after="0" w:line="240" w:lineRule="auto"/>
    </w:pPr>
    <w:rPr>
      <w:lang w:val="lv-LV"/>
    </w:rPr>
  </w:style>
  <w:style w:type="character" w:customStyle="1" w:styleId="FooterChar">
    <w:name w:val="Footer Char"/>
    <w:basedOn w:val="DefaultParagraphFont"/>
    <w:link w:val="Footer"/>
    <w:uiPriority w:val="99"/>
    <w:rsid w:val="00A600A9"/>
  </w:style>
  <w:style w:type="paragraph" w:customStyle="1" w:styleId="text-align-center">
    <w:name w:val="text-align-center"/>
    <w:basedOn w:val="Normal"/>
    <w:rsid w:val="00A600A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A600A9"/>
    <w:rPr>
      <w:color w:val="0000FF"/>
      <w:u w:val="single"/>
    </w:rPr>
  </w:style>
  <w:style w:type="paragraph" w:styleId="NormalWeb">
    <w:name w:val="Normal (Web)"/>
    <w:basedOn w:val="Normal"/>
    <w:uiPriority w:val="99"/>
    <w:unhideWhenUsed/>
    <w:rsid w:val="00A600A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UnresolvedMention1">
    <w:name w:val="Unresolved Mention1"/>
    <w:basedOn w:val="DefaultParagraphFont"/>
    <w:uiPriority w:val="99"/>
    <w:semiHidden/>
    <w:unhideWhenUsed/>
    <w:rsid w:val="00E06DBE"/>
    <w:rPr>
      <w:color w:val="605E5C"/>
      <w:shd w:val="clear" w:color="auto" w:fill="E1DFDD"/>
    </w:rPr>
  </w:style>
  <w:style w:type="character" w:styleId="FollowedHyperlink">
    <w:name w:val="FollowedHyperlink"/>
    <w:basedOn w:val="DefaultParagraphFont"/>
    <w:uiPriority w:val="99"/>
    <w:semiHidden/>
    <w:unhideWhenUsed/>
    <w:rsid w:val="00B913B3"/>
    <w:rPr>
      <w:color w:val="954F72" w:themeColor="followedHyperlink"/>
      <w:u w:val="single"/>
    </w:rPr>
  </w:style>
  <w:style w:type="paragraph" w:styleId="NoSpacing">
    <w:name w:val="No Spacing"/>
    <w:uiPriority w:val="1"/>
    <w:qFormat/>
    <w:rsid w:val="00627DB1"/>
    <w:pPr>
      <w:spacing w:after="0" w:line="240" w:lineRule="auto"/>
    </w:pPr>
  </w:style>
  <w:style w:type="paragraph" w:styleId="BalloonText">
    <w:name w:val="Balloon Text"/>
    <w:basedOn w:val="Normal"/>
    <w:link w:val="BalloonTextChar"/>
    <w:uiPriority w:val="99"/>
    <w:semiHidden/>
    <w:unhideWhenUsed/>
    <w:rsid w:val="00473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CD5"/>
    <w:rPr>
      <w:rFonts w:ascii="Segoe UI" w:hAnsi="Segoe UI" w:cs="Segoe UI"/>
      <w:sz w:val="18"/>
      <w:szCs w:val="18"/>
      <w:lang w:val="en-US"/>
    </w:rPr>
  </w:style>
  <w:style w:type="paragraph" w:styleId="Revision">
    <w:name w:val="Revision"/>
    <w:hidden/>
    <w:uiPriority w:val="99"/>
    <w:semiHidden/>
    <w:rsid w:val="009348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0462">
      <w:bodyDiv w:val="1"/>
      <w:marLeft w:val="0"/>
      <w:marRight w:val="0"/>
      <w:marTop w:val="0"/>
      <w:marBottom w:val="0"/>
      <w:divBdr>
        <w:top w:val="none" w:sz="0" w:space="0" w:color="auto"/>
        <w:left w:val="none" w:sz="0" w:space="0" w:color="auto"/>
        <w:bottom w:val="none" w:sz="0" w:space="0" w:color="auto"/>
        <w:right w:val="none" w:sz="0" w:space="0" w:color="auto"/>
      </w:divBdr>
    </w:div>
    <w:div w:id="824665287">
      <w:bodyDiv w:val="1"/>
      <w:marLeft w:val="0"/>
      <w:marRight w:val="0"/>
      <w:marTop w:val="0"/>
      <w:marBottom w:val="0"/>
      <w:divBdr>
        <w:top w:val="none" w:sz="0" w:space="0" w:color="auto"/>
        <w:left w:val="none" w:sz="0" w:space="0" w:color="auto"/>
        <w:bottom w:val="none" w:sz="0" w:space="0" w:color="auto"/>
        <w:right w:val="none" w:sz="0" w:space="0" w:color="auto"/>
      </w:divBdr>
      <w:divsChild>
        <w:div w:id="1324353544">
          <w:marLeft w:val="0"/>
          <w:marRight w:val="0"/>
          <w:marTop w:val="0"/>
          <w:marBottom w:val="0"/>
          <w:divBdr>
            <w:top w:val="none" w:sz="0" w:space="0" w:color="auto"/>
            <w:left w:val="none" w:sz="0" w:space="0" w:color="auto"/>
            <w:bottom w:val="none" w:sz="0" w:space="0" w:color="auto"/>
            <w:right w:val="none" w:sz="0" w:space="0" w:color="auto"/>
          </w:divBdr>
          <w:divsChild>
            <w:div w:id="1549028656">
              <w:marLeft w:val="0"/>
              <w:marRight w:val="0"/>
              <w:marTop w:val="0"/>
              <w:marBottom w:val="0"/>
              <w:divBdr>
                <w:top w:val="none" w:sz="0" w:space="0" w:color="auto"/>
                <w:left w:val="none" w:sz="0" w:space="0" w:color="auto"/>
                <w:bottom w:val="none" w:sz="0" w:space="0" w:color="auto"/>
                <w:right w:val="none" w:sz="0" w:space="0" w:color="auto"/>
              </w:divBdr>
              <w:divsChild>
                <w:div w:id="948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3350</Words>
  <Characters>1911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Okmane</dc:creator>
  <cp:keywords/>
  <dc:description/>
  <cp:lastModifiedBy>Saiva Luste</cp:lastModifiedBy>
  <cp:revision>2</cp:revision>
  <dcterms:created xsi:type="dcterms:W3CDTF">2022-05-30T10:17:00Z</dcterms:created>
  <dcterms:modified xsi:type="dcterms:W3CDTF">2022-05-30T10:17:00Z</dcterms:modified>
</cp:coreProperties>
</file>