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D" w:rsidRPr="006C58B4" w:rsidRDefault="00480B09" w:rsidP="006C58B4">
      <w:pPr>
        <w:widowControl/>
        <w:wordWrap/>
        <w:autoSpaceDE/>
        <w:autoSpaceDN/>
        <w:spacing w:after="200" w:line="276" w:lineRule="auto"/>
        <w:jc w:val="right"/>
        <w:rPr>
          <w:rFonts w:ascii="Times New Roman" w:eastAsiaTheme="minorEastAsia"/>
          <w:kern w:val="0"/>
          <w:sz w:val="24"/>
          <w:lang w:val="lv-LV" w:eastAsia="lv-LV"/>
        </w:rPr>
      </w:pPr>
      <w:r w:rsidRPr="006C58B4">
        <w:rPr>
          <w:rFonts w:ascii="Times New Roman" w:eastAsiaTheme="minorEastAsia"/>
          <w:kern w:val="0"/>
          <w:sz w:val="24"/>
          <w:lang w:val="lv-LV" w:eastAsia="lv-LV"/>
        </w:rPr>
        <w:t xml:space="preserve">                                                    1</w:t>
      </w:r>
      <w:r w:rsidR="0082515D" w:rsidRPr="006C58B4">
        <w:rPr>
          <w:rFonts w:ascii="Times New Roman" w:eastAsiaTheme="minorEastAsia"/>
          <w:kern w:val="0"/>
          <w:sz w:val="24"/>
          <w:lang w:val="lv-LV" w:eastAsia="lv-LV"/>
        </w:rPr>
        <w:t>.pielikums</w:t>
      </w:r>
    </w:p>
    <w:p w:rsidR="00CD2A54" w:rsidRPr="002D711D" w:rsidRDefault="00CD2A54" w:rsidP="00CD2A54">
      <w:pPr>
        <w:widowControl/>
        <w:wordWrap/>
        <w:spacing w:before="400" w:after="280"/>
        <w:jc w:val="center"/>
        <w:rPr>
          <w:rFonts w:ascii="Times New Roman" w:eastAsia="Times New Roman"/>
          <w:b/>
          <w:color w:val="000000"/>
          <w:sz w:val="28"/>
          <w:szCs w:val="28"/>
          <w:lang w:val="lv-LV"/>
        </w:rPr>
      </w:pPr>
      <w:r w:rsidRPr="002D711D">
        <w:rPr>
          <w:rFonts w:ascii="Times New Roman" w:eastAsia="Times New Roman"/>
          <w:b/>
          <w:color w:val="000000"/>
          <w:sz w:val="28"/>
          <w:szCs w:val="28"/>
          <w:lang w:val="lv-LV"/>
        </w:rPr>
        <w:t>Tehniskā specifikācija un tehniskais piedāvājums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6804"/>
        <w:gridCol w:w="1559"/>
      </w:tblGrid>
      <w:tr w:rsidR="008D1AE6" w:rsidRPr="008D1AE6" w:rsidTr="00A441CE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Nr.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Prasības pakalpojumam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Pretendenta piedāvājums</w:t>
            </w:r>
            <w:r w:rsidR="00191DF1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*</w:t>
            </w:r>
          </w:p>
        </w:tc>
      </w:tr>
      <w:tr w:rsidR="008D1AE6" w:rsidRPr="00DB34B6" w:rsidTr="00A441CE">
        <w:trPr>
          <w:trHeight w:val="122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1.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424365" w:rsidRDefault="008D1AE6" w:rsidP="006C58B4">
            <w:pPr>
              <w:widowControl/>
              <w:wordWrap/>
              <w:spacing w:after="200"/>
              <w:rPr>
                <w:rFonts w:ascii="Times New Roman"/>
                <w:color w:val="000000"/>
                <w:sz w:val="24"/>
                <w:lang w:val="lv-LV"/>
              </w:rPr>
            </w:pPr>
            <w:r w:rsidRPr="008D1AE6">
              <w:rPr>
                <w:rFonts w:ascii="Times New Roman"/>
                <w:color w:val="000000"/>
                <w:sz w:val="24"/>
                <w:lang w:val="lv-LV"/>
              </w:rPr>
              <w:t xml:space="preserve">Pakalpojumu nodrošina pilnā apjomā </w:t>
            </w:r>
            <w:r w:rsidR="00191DF1">
              <w:rPr>
                <w:rFonts w:ascii="Times New Roman"/>
                <w:color w:val="000000"/>
                <w:sz w:val="24"/>
                <w:lang w:val="lv-LV"/>
              </w:rPr>
              <w:t>–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191DF1">
              <w:rPr>
                <w:rFonts w:ascii="Times New Roman"/>
                <w:color w:val="000000"/>
                <w:sz w:val="24"/>
                <w:lang w:val="lv-LV"/>
              </w:rPr>
              <w:t xml:space="preserve">speciālistu nogāde mērījuma vietā, 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 xml:space="preserve">mērījuma veikšana, testēšanas pārskata sagatavošana, atzinuma par testēšanas rezultātiem sagatavošana un nogādāšana līdz pasūtītājam.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A441CE" w:rsidRPr="00DB34B6" w:rsidTr="00424365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DD066B">
            <w:pPr>
              <w:widowControl/>
              <w:wordWrap/>
              <w:spacing w:after="200"/>
              <w:rPr>
                <w:rFonts w:ascii="Times New Roman"/>
                <w:color w:val="000000"/>
                <w:sz w:val="24"/>
                <w:lang w:val="lv-LV"/>
              </w:rPr>
            </w:pPr>
            <w:r w:rsidRPr="008D1AE6">
              <w:rPr>
                <w:rFonts w:ascii="Times New Roman"/>
                <w:color w:val="000000"/>
                <w:sz w:val="24"/>
                <w:lang w:val="lv-LV"/>
              </w:rPr>
              <w:t xml:space="preserve">Mērījumu veikšanu saskaņā ar Ministru kabineta 2014.gada 7.janvāra </w:t>
            </w:r>
            <w:r w:rsidR="00DD066B" w:rsidRPr="008D1AE6">
              <w:rPr>
                <w:rFonts w:ascii="Times New Roman"/>
                <w:color w:val="000000"/>
                <w:sz w:val="24"/>
                <w:lang w:val="lv-LV"/>
              </w:rPr>
              <w:t>noteikum</w:t>
            </w:r>
            <w:r w:rsidR="00DD066B">
              <w:rPr>
                <w:rFonts w:ascii="Times New Roman"/>
                <w:color w:val="000000"/>
                <w:sz w:val="24"/>
                <w:lang w:val="lv-LV"/>
              </w:rPr>
              <w:t>iem</w:t>
            </w:r>
            <w:r w:rsidR="00DD066B" w:rsidRPr="008D1AE6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>Nr. 16 „Trokšņa novēr</w:t>
            </w:r>
            <w:r w:rsidR="00BD16F6">
              <w:rPr>
                <w:rFonts w:ascii="Times New Roman"/>
                <w:color w:val="000000"/>
                <w:sz w:val="24"/>
                <w:lang w:val="lv-LV"/>
              </w:rPr>
              <w:t>tēšanas un pārvaldības kārtība”.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A441CE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DB34B6" w:rsidTr="00A441CE">
        <w:trPr>
          <w:trHeight w:val="10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424365" w:rsidRDefault="00191DF1" w:rsidP="00DB34B6">
            <w:pPr>
              <w:widowControl/>
              <w:wordWrap/>
              <w:spacing w:after="200"/>
              <w:rPr>
                <w:rFonts w:ascii="Times New Roman"/>
                <w:color w:val="000000"/>
                <w:sz w:val="24"/>
                <w:lang w:val="lv-LV"/>
              </w:rPr>
            </w:pPr>
            <w:r w:rsidRPr="008D1AE6">
              <w:rPr>
                <w:rFonts w:ascii="Times New Roman"/>
                <w:color w:val="000000"/>
                <w:sz w:val="24"/>
                <w:lang w:val="lv-LV"/>
              </w:rPr>
              <w:t>Trokšņa mērījumu veikšanu</w:t>
            </w:r>
            <w:r w:rsidR="00DB34B6" w:rsidRPr="00DB34B6">
              <w:rPr>
                <w:rFonts w:ascii="Times New Roman"/>
                <w:bCs/>
                <w:sz w:val="24"/>
                <w:lang w:val="lv-LV"/>
              </w:rPr>
              <w:t xml:space="preserve"> Priežu ielā 10, Kandavā, dzīvojamā telpā, dienas laikā no plkst. 7:00 – 19:00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 xml:space="preserve">, ne vēlāk kā </w:t>
            </w:r>
            <w:r>
              <w:rPr>
                <w:rFonts w:ascii="Times New Roman"/>
                <w:color w:val="000000"/>
                <w:sz w:val="24"/>
                <w:lang w:val="lv-LV"/>
              </w:rPr>
              <w:t>5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 xml:space="preserve"> (</w:t>
            </w:r>
            <w:r>
              <w:rPr>
                <w:rFonts w:ascii="Times New Roman"/>
                <w:color w:val="000000"/>
                <w:sz w:val="24"/>
                <w:lang w:val="lv-LV"/>
              </w:rPr>
              <w:t>piecu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 xml:space="preserve">) darba dienu laikā pēc </w:t>
            </w:r>
            <w:r w:rsidR="00424365">
              <w:rPr>
                <w:rFonts w:ascii="Times New Roman"/>
                <w:color w:val="000000"/>
                <w:sz w:val="24"/>
                <w:lang w:val="lv-LV"/>
              </w:rPr>
              <w:t>pieprasījuma iesniegšanas</w:t>
            </w:r>
            <w:r w:rsidR="00DB34B6">
              <w:rPr>
                <w:rFonts w:ascii="Times New Roman"/>
                <w:color w:val="000000"/>
                <w:sz w:val="24"/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DB34B6" w:rsidTr="00A441CE">
        <w:trPr>
          <w:trHeight w:val="10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191DF1" w:rsidP="00DB34B6">
            <w:pPr>
              <w:widowControl/>
              <w:wordWrap/>
              <w:spacing w:after="200"/>
              <w:rPr>
                <w:rFonts w:ascii="Times New Roman"/>
                <w:color w:val="000000"/>
                <w:sz w:val="24"/>
                <w:lang w:val="lv-LV"/>
              </w:rPr>
            </w:pPr>
            <w:r w:rsidRPr="008D1AE6">
              <w:rPr>
                <w:rFonts w:ascii="Times New Roman"/>
                <w:color w:val="000000"/>
                <w:sz w:val="24"/>
                <w:lang w:val="lv-LV"/>
              </w:rPr>
              <w:t>Pretendent</w:t>
            </w:r>
            <w:r w:rsidR="00424365">
              <w:rPr>
                <w:rFonts w:ascii="Times New Roman"/>
                <w:color w:val="000000"/>
                <w:sz w:val="24"/>
                <w:lang w:val="lv-LV"/>
              </w:rPr>
              <w:t>s nodrošina, ka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822731">
              <w:rPr>
                <w:rFonts w:ascii="Times New Roman"/>
                <w:color w:val="000000"/>
                <w:sz w:val="24"/>
                <w:lang w:val="lv-LV"/>
              </w:rPr>
              <w:t xml:space="preserve">testēšanas 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 xml:space="preserve">laboratorija ir akreditēta atbilstoši </w:t>
            </w:r>
            <w:r w:rsidR="00022944">
              <w:rPr>
                <w:rFonts w:ascii="Times New Roman"/>
                <w:color w:val="000000"/>
                <w:sz w:val="24"/>
                <w:lang w:val="lv-LV"/>
              </w:rPr>
              <w:t>Ministru kabineta 2014. gada 7.janvāra noteikumu Nr.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>16 „Trokšņa novērtēšanas un pārvaldības kārtība” 11.punkta prasībām</w:t>
            </w:r>
            <w:r w:rsidR="00424365">
              <w:rPr>
                <w:rFonts w:ascii="Times New Roman"/>
                <w:color w:val="000000"/>
                <w:sz w:val="24"/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8D1AE6" w:rsidTr="0095498D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AB6EA2" w:rsidP="00AB6EA2">
            <w:pPr>
              <w:widowControl/>
              <w:wordWrap/>
              <w:spacing w:after="200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 xml:space="preserve">Testēšanas pārskatā iekļauj informāciju atbilstoši </w:t>
            </w:r>
            <w:r w:rsidR="003C32EF">
              <w:rPr>
                <w:rFonts w:ascii="Times New Roman"/>
                <w:color w:val="000000"/>
                <w:sz w:val="24"/>
                <w:lang w:val="lv-LV"/>
              </w:rPr>
              <w:t xml:space="preserve">spēkā esošiem u.c. </w:t>
            </w:r>
            <w:r>
              <w:rPr>
                <w:rFonts w:ascii="Times New Roman"/>
                <w:color w:val="000000"/>
                <w:sz w:val="24"/>
                <w:lang w:val="lv-LV"/>
              </w:rPr>
              <w:t>standartiem</w:t>
            </w:r>
            <w:r w:rsidRPr="008D1AE6">
              <w:rPr>
                <w:rFonts w:ascii="Times New Roman"/>
                <w:color w:val="000000"/>
                <w:sz w:val="24"/>
                <w:lang w:val="lv-LV"/>
              </w:rPr>
              <w:t>.</w:t>
            </w:r>
            <w:r>
              <w:rPr>
                <w:rFonts w:ascii="Times New Roman"/>
                <w:color w:val="000000"/>
                <w:sz w:val="24"/>
                <w:lang w:val="lv-LV"/>
              </w:rPr>
              <w:t xml:space="preserve"> (piemēram, LVS ISO 1996:2-2008, ISO 1996-1:200</w:t>
            </w:r>
            <w:r w:rsidR="002003FC">
              <w:rPr>
                <w:rFonts w:ascii="Times New Roman"/>
                <w:color w:val="000000"/>
                <w:sz w:val="24"/>
                <w:lang w:val="lv-LV"/>
              </w:rPr>
              <w:t>4</w:t>
            </w:r>
            <w:r w:rsidR="005B5A03">
              <w:rPr>
                <w:rFonts w:ascii="Times New Roman"/>
                <w:color w:val="000000"/>
                <w:sz w:val="24"/>
                <w:lang w:val="lv-LV"/>
              </w:rPr>
              <w:t xml:space="preserve"> u.c.</w:t>
            </w:r>
            <w:r>
              <w:rPr>
                <w:rFonts w:ascii="Times New Roman"/>
                <w:color w:val="000000"/>
                <w:sz w:val="24"/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DB34B6" w:rsidTr="0095498D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95498D" w:rsidP="00480B09">
            <w:pPr>
              <w:widowControl/>
              <w:wordWrap/>
              <w:spacing w:after="200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>T</w:t>
            </w:r>
            <w:r w:rsidR="008D1AE6" w:rsidRPr="008D1AE6">
              <w:rPr>
                <w:rFonts w:ascii="Times New Roman"/>
                <w:color w:val="000000"/>
                <w:sz w:val="24"/>
                <w:lang w:val="lv-LV"/>
              </w:rPr>
              <w:t xml:space="preserve">estēšanas pārskata </w:t>
            </w:r>
            <w:r w:rsidR="00022944" w:rsidRPr="00022944">
              <w:rPr>
                <w:rFonts w:ascii="Times New Roman"/>
                <w:color w:val="000000"/>
                <w:sz w:val="24"/>
                <w:lang w:val="lv-LV"/>
              </w:rPr>
              <w:t>un atzinuma par testēšanas rezultātiem</w:t>
            </w:r>
            <w:r w:rsidR="00022944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725537">
              <w:rPr>
                <w:rFonts w:ascii="Times New Roman"/>
                <w:color w:val="000000"/>
                <w:sz w:val="24"/>
                <w:lang w:val="lv-LV"/>
              </w:rPr>
              <w:t xml:space="preserve">nosūta </w:t>
            </w:r>
            <w:r w:rsidR="008D1AE6" w:rsidRPr="008D1AE6">
              <w:rPr>
                <w:rFonts w:ascii="Times New Roman"/>
                <w:color w:val="000000"/>
                <w:sz w:val="24"/>
                <w:lang w:val="lv-LV"/>
              </w:rPr>
              <w:t>5 (piec</w:t>
            </w:r>
            <w:r>
              <w:rPr>
                <w:rFonts w:ascii="Times New Roman"/>
                <w:color w:val="000000"/>
                <w:sz w:val="24"/>
                <w:lang w:val="lv-LV"/>
              </w:rPr>
              <w:t>u</w:t>
            </w:r>
            <w:r w:rsidR="008D1AE6" w:rsidRPr="008D1AE6">
              <w:rPr>
                <w:rFonts w:ascii="Times New Roman"/>
                <w:color w:val="000000"/>
                <w:sz w:val="24"/>
                <w:lang w:val="lv-LV"/>
              </w:rPr>
              <w:t>) darba dien</w:t>
            </w:r>
            <w:r>
              <w:rPr>
                <w:rFonts w:ascii="Times New Roman"/>
                <w:color w:val="000000"/>
                <w:sz w:val="24"/>
                <w:lang w:val="lv-LV"/>
              </w:rPr>
              <w:t>u laikā</w:t>
            </w:r>
            <w:r w:rsidR="008D1AE6" w:rsidRPr="008D1AE6">
              <w:rPr>
                <w:rFonts w:ascii="Times New Roman"/>
                <w:color w:val="000000"/>
                <w:sz w:val="24"/>
                <w:lang w:val="lv-LV"/>
              </w:rPr>
              <w:t xml:space="preserve"> pēc mērījumu veikšanas (neiekļaujot mērījumiem nepieciešamo laiku). </w:t>
            </w:r>
            <w:r>
              <w:rPr>
                <w:rFonts w:ascii="Times New Roman"/>
                <w:color w:val="000000"/>
                <w:sz w:val="24"/>
                <w:lang w:val="lv-LV"/>
              </w:rPr>
              <w:t>T</w:t>
            </w:r>
            <w:r w:rsidR="008D1AE6" w:rsidRPr="008D1AE6">
              <w:rPr>
                <w:rFonts w:ascii="Times New Roman"/>
                <w:color w:val="000000"/>
                <w:sz w:val="24"/>
                <w:lang w:val="lv-LV"/>
              </w:rPr>
              <w:t xml:space="preserve">estēšanas pārskata </w:t>
            </w:r>
            <w:r w:rsidR="00022944" w:rsidRPr="00022944">
              <w:rPr>
                <w:rFonts w:ascii="Times New Roman"/>
                <w:color w:val="000000"/>
                <w:sz w:val="24"/>
                <w:lang w:val="lv-LV"/>
              </w:rPr>
              <w:t>un atzinuma par testēšanas rezultātiem</w:t>
            </w:r>
            <w:r w:rsidR="00022944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8D1AE6" w:rsidRPr="008D1AE6">
              <w:rPr>
                <w:rFonts w:ascii="Times New Roman"/>
                <w:color w:val="000000"/>
                <w:sz w:val="24"/>
                <w:lang w:val="lv-LV"/>
              </w:rPr>
              <w:t>piegāde elektroniskā veidā</w:t>
            </w:r>
            <w:r>
              <w:rPr>
                <w:rFonts w:ascii="Times New Roman"/>
                <w:color w:val="000000"/>
                <w:sz w:val="24"/>
                <w:lang w:val="lv-LV"/>
              </w:rPr>
              <w:t xml:space="preserve"> nosūtot </w:t>
            </w:r>
            <w:r w:rsidR="00480B09">
              <w:rPr>
                <w:rFonts w:ascii="Times New Roman"/>
                <w:color w:val="000000"/>
                <w:sz w:val="24"/>
                <w:lang w:val="lv-LV"/>
              </w:rPr>
              <w:t xml:space="preserve">uz noradīto </w:t>
            </w:r>
            <w:r>
              <w:rPr>
                <w:rFonts w:ascii="Times New Roman"/>
                <w:color w:val="000000"/>
                <w:sz w:val="24"/>
                <w:lang w:val="lv-LV"/>
              </w:rPr>
              <w:t xml:space="preserve"> e-pastu</w:t>
            </w:r>
            <w:r w:rsidR="00022944">
              <w:rPr>
                <w:rFonts w:ascii="Times New Roman"/>
                <w:color w:val="000000"/>
                <w:sz w:val="24"/>
                <w:lang w:val="lv-LV"/>
              </w:rPr>
              <w:t xml:space="preserve"> ar drošu elektronisku parakstu.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DB34B6" w:rsidTr="00A441CE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95498D" w:rsidP="00E24214">
            <w:pPr>
              <w:widowControl/>
              <w:wordWrap/>
              <w:spacing w:after="200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>Strīdu</w:t>
            </w:r>
            <w:r w:rsidR="008D1AE6" w:rsidRPr="008D1AE6">
              <w:rPr>
                <w:rFonts w:ascii="Times New Roman"/>
                <w:color w:val="000000"/>
                <w:sz w:val="24"/>
                <w:lang w:val="lv-LV"/>
              </w:rPr>
              <w:t xml:space="preserve"> gadījumā u</w:t>
            </w:r>
            <w:r w:rsidR="00191DF1">
              <w:rPr>
                <w:rFonts w:ascii="Times New Roman"/>
                <w:color w:val="000000"/>
                <w:sz w:val="24"/>
                <w:lang w:val="lv-LV"/>
              </w:rPr>
              <w:t>n pārsūdzības procesā nodrošinā</w:t>
            </w:r>
            <w:r>
              <w:rPr>
                <w:rFonts w:ascii="Times New Roman"/>
                <w:color w:val="000000"/>
                <w:sz w:val="24"/>
                <w:lang w:val="lv-LV"/>
              </w:rPr>
              <w:t>t</w:t>
            </w:r>
            <w:r w:rsidR="008D1AE6" w:rsidRPr="008D1AE6"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E24214">
              <w:rPr>
                <w:rFonts w:ascii="Times New Roman"/>
                <w:color w:val="000000"/>
                <w:sz w:val="24"/>
                <w:lang w:val="lv-LV"/>
              </w:rPr>
              <w:t xml:space="preserve">pretendenta </w:t>
            </w:r>
            <w:r w:rsidR="008D1AE6" w:rsidRPr="008D1AE6">
              <w:rPr>
                <w:rFonts w:ascii="Times New Roman"/>
                <w:color w:val="000000"/>
                <w:sz w:val="24"/>
                <w:lang w:val="lv-LV"/>
              </w:rPr>
              <w:t xml:space="preserve"> pārstāvja piedalīšanos tiesu instancēs Pasūtītāja pusē</w:t>
            </w:r>
            <w:r w:rsidR="00191DF1">
              <w:rPr>
                <w:rFonts w:ascii="Times New Roman"/>
                <w:color w:val="000000"/>
                <w:sz w:val="24"/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</w:tbl>
    <w:p w:rsidR="00191DF1" w:rsidRDefault="00191DF1" w:rsidP="00736E5A">
      <w:pPr>
        <w:widowControl/>
        <w:wordWrap/>
        <w:spacing w:after="200"/>
        <w:ind w:right="-2" w:firstLine="567"/>
        <w:rPr>
          <w:rFonts w:ascii="Times New Roman"/>
          <w:color w:val="000000"/>
          <w:sz w:val="24"/>
          <w:lang w:val="lv-LV"/>
        </w:rPr>
      </w:pPr>
      <w:r>
        <w:rPr>
          <w:rFonts w:ascii="Times New Roman"/>
          <w:color w:val="000000"/>
          <w:sz w:val="24"/>
          <w:lang w:val="lv-LV"/>
        </w:rPr>
        <w:t xml:space="preserve">* </w:t>
      </w:r>
      <w:r w:rsidR="00A3577E">
        <w:rPr>
          <w:rFonts w:ascii="Times New Roman"/>
          <w:color w:val="000000"/>
          <w:sz w:val="24"/>
          <w:lang w:val="lv-LV"/>
        </w:rPr>
        <w:t>Aizpilda ierakstot „nodrošinās” vai attiecīgi paskaidrojot apstākļus</w:t>
      </w:r>
      <w:r w:rsidR="00736E5A">
        <w:rPr>
          <w:rFonts w:ascii="Times New Roman"/>
          <w:color w:val="000000"/>
          <w:sz w:val="24"/>
          <w:lang w:val="lv-LV"/>
        </w:rPr>
        <w:t xml:space="preserve"> kādā veidā nodrošina</w:t>
      </w:r>
      <w:r>
        <w:rPr>
          <w:rFonts w:ascii="Times New Roman"/>
          <w:color w:val="000000"/>
          <w:sz w:val="24"/>
          <w:lang w:val="lv-LV"/>
        </w:rPr>
        <w:t>.</w:t>
      </w:r>
    </w:p>
    <w:p w:rsidR="00A3577E" w:rsidRDefault="00A3577E">
      <w:pPr>
        <w:widowControl/>
        <w:wordWrap/>
        <w:spacing w:after="200"/>
        <w:ind w:left="-567" w:right="-1050" w:firstLine="567"/>
        <w:rPr>
          <w:rFonts w:ascii="Times New Roman"/>
          <w:color w:val="000000"/>
          <w:sz w:val="24"/>
          <w:lang w:val="lv-LV"/>
        </w:rPr>
      </w:pPr>
    </w:p>
    <w:p w:rsidR="00A3577E" w:rsidRPr="008D1AE6" w:rsidRDefault="00A3577E">
      <w:pPr>
        <w:widowControl/>
        <w:wordWrap/>
        <w:spacing w:after="200"/>
        <w:ind w:left="-567" w:right="-1050" w:firstLine="567"/>
        <w:rPr>
          <w:rFonts w:ascii="Times New Roman"/>
          <w:color w:val="000000"/>
          <w:sz w:val="24"/>
          <w:lang w:val="lv-LV"/>
        </w:rPr>
      </w:pPr>
    </w:p>
    <w:tbl>
      <w:tblPr>
        <w:tblW w:w="0" w:type="auto"/>
        <w:tblLook w:val="04A0"/>
      </w:tblPr>
      <w:tblGrid>
        <w:gridCol w:w="4503"/>
        <w:gridCol w:w="567"/>
        <w:gridCol w:w="4217"/>
      </w:tblGrid>
      <w:tr w:rsidR="00A3577E" w:rsidRPr="00DB34B6" w:rsidTr="007624B4">
        <w:tc>
          <w:tcPr>
            <w:tcW w:w="4503" w:type="dxa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567" w:type="dxa"/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</w:tr>
      <w:tr w:rsidR="00A3577E" w:rsidRPr="005E44A5" w:rsidTr="007624B4">
        <w:tc>
          <w:tcPr>
            <w:tcW w:w="4503" w:type="dxa"/>
            <w:tcBorders>
              <w:top w:val="single" w:sz="4" w:space="0" w:color="auto"/>
            </w:tcBorders>
          </w:tcPr>
          <w:p w:rsidR="00A3577E" w:rsidRPr="005E44A5" w:rsidRDefault="00A3577E" w:rsidP="007624B4">
            <w:pPr>
              <w:ind w:right="-96"/>
              <w:jc w:val="center"/>
              <w:rPr>
                <w:szCs w:val="20"/>
              </w:rPr>
            </w:pPr>
            <w:r w:rsidRPr="005E44A5">
              <w:rPr>
                <w:szCs w:val="20"/>
              </w:rPr>
              <w:t>(vad</w:t>
            </w:r>
            <w:r w:rsidRPr="005E44A5">
              <w:rPr>
                <w:szCs w:val="20"/>
              </w:rPr>
              <w:t>ī</w:t>
            </w:r>
            <w:r w:rsidRPr="005E44A5">
              <w:rPr>
                <w:szCs w:val="20"/>
              </w:rPr>
              <w:t>t</w:t>
            </w:r>
            <w:r w:rsidRPr="005E44A5">
              <w:rPr>
                <w:szCs w:val="20"/>
              </w:rPr>
              <w:t>ā</w:t>
            </w:r>
            <w:r w:rsidRPr="005E44A5">
              <w:rPr>
                <w:szCs w:val="20"/>
              </w:rPr>
              <w:t>ja vai pilnvarot</w:t>
            </w:r>
            <w:r w:rsidRPr="005E44A5">
              <w:rPr>
                <w:szCs w:val="20"/>
              </w:rPr>
              <w:t>ā</w:t>
            </w:r>
            <w:r w:rsidRPr="005E44A5">
              <w:rPr>
                <w:szCs w:val="20"/>
              </w:rPr>
              <w:t>s personas amats)</w:t>
            </w:r>
          </w:p>
        </w:tc>
        <w:tc>
          <w:tcPr>
            <w:tcW w:w="567" w:type="dxa"/>
          </w:tcPr>
          <w:p w:rsidR="00A3577E" w:rsidRPr="005E44A5" w:rsidRDefault="00A3577E" w:rsidP="007624B4">
            <w:pPr>
              <w:ind w:right="-96"/>
              <w:rPr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577E" w:rsidRPr="005E44A5" w:rsidRDefault="00A3577E" w:rsidP="007624B4">
            <w:pPr>
              <w:ind w:right="-96"/>
              <w:jc w:val="center"/>
              <w:rPr>
                <w:szCs w:val="20"/>
              </w:rPr>
            </w:pPr>
            <w:r w:rsidRPr="005E44A5">
              <w:rPr>
                <w:szCs w:val="20"/>
              </w:rPr>
              <w:t>(paraksts un paraksta at</w:t>
            </w:r>
            <w:r w:rsidRPr="005E44A5">
              <w:rPr>
                <w:szCs w:val="20"/>
              </w:rPr>
              <w:t>š</w:t>
            </w:r>
            <w:r w:rsidRPr="005E44A5">
              <w:rPr>
                <w:szCs w:val="20"/>
              </w:rPr>
              <w:t>ifr</w:t>
            </w:r>
            <w:r w:rsidRPr="005E44A5">
              <w:rPr>
                <w:szCs w:val="20"/>
              </w:rPr>
              <w:t>ē</w:t>
            </w:r>
            <w:r w:rsidRPr="005E44A5">
              <w:rPr>
                <w:szCs w:val="20"/>
              </w:rPr>
              <w:t>jums)</w:t>
            </w:r>
          </w:p>
        </w:tc>
      </w:tr>
    </w:tbl>
    <w:p w:rsidR="008D1AE6" w:rsidRPr="008D1AE6" w:rsidRDefault="008D1AE6">
      <w:pPr>
        <w:widowControl/>
        <w:wordWrap/>
        <w:spacing w:after="200"/>
        <w:ind w:right="-99"/>
        <w:rPr>
          <w:rFonts w:ascii="Times New Roman"/>
          <w:color w:val="000000"/>
          <w:sz w:val="24"/>
          <w:lang w:val="lv-LV"/>
        </w:rPr>
      </w:pPr>
    </w:p>
    <w:tbl>
      <w:tblPr>
        <w:tblW w:w="0" w:type="auto"/>
        <w:tblLook w:val="04A0"/>
      </w:tblPr>
      <w:tblGrid>
        <w:gridCol w:w="2376"/>
      </w:tblGrid>
      <w:tr w:rsidR="00A3577E" w:rsidRPr="003C4E51" w:rsidTr="007624B4">
        <w:tc>
          <w:tcPr>
            <w:tcW w:w="2376" w:type="dxa"/>
            <w:tcBorders>
              <w:bottom w:val="single" w:sz="4" w:space="0" w:color="auto"/>
            </w:tcBorders>
          </w:tcPr>
          <w:p w:rsidR="00A3577E" w:rsidRPr="003C4E51" w:rsidRDefault="00A3577E" w:rsidP="007624B4">
            <w:pPr>
              <w:ind w:right="-99"/>
            </w:pPr>
          </w:p>
        </w:tc>
      </w:tr>
      <w:tr w:rsidR="00A3577E" w:rsidRPr="005E44A5" w:rsidTr="007624B4">
        <w:tc>
          <w:tcPr>
            <w:tcW w:w="2376" w:type="dxa"/>
            <w:tcBorders>
              <w:top w:val="single" w:sz="4" w:space="0" w:color="auto"/>
            </w:tcBorders>
          </w:tcPr>
          <w:p w:rsidR="00A3577E" w:rsidRPr="005E44A5" w:rsidRDefault="00A3577E" w:rsidP="007624B4">
            <w:pPr>
              <w:ind w:right="-99"/>
              <w:jc w:val="center"/>
              <w:rPr>
                <w:szCs w:val="20"/>
              </w:rPr>
            </w:pPr>
            <w:r w:rsidRPr="005E44A5">
              <w:rPr>
                <w:szCs w:val="20"/>
              </w:rPr>
              <w:t>(datums, z</w:t>
            </w:r>
            <w:r w:rsidRPr="005E44A5">
              <w:rPr>
                <w:szCs w:val="20"/>
              </w:rPr>
              <w:t>ī</w:t>
            </w:r>
            <w:r w:rsidRPr="005E44A5">
              <w:rPr>
                <w:szCs w:val="20"/>
              </w:rPr>
              <w:t>mogs)</w:t>
            </w:r>
          </w:p>
        </w:tc>
      </w:tr>
    </w:tbl>
    <w:p w:rsidR="008D1AE6" w:rsidRPr="008D1AE6" w:rsidRDefault="008D1AE6" w:rsidP="00A3577E">
      <w:pPr>
        <w:widowControl/>
        <w:wordWrap/>
        <w:spacing w:after="200"/>
        <w:ind w:right="-99"/>
        <w:rPr>
          <w:rFonts w:ascii="Times New Roman"/>
          <w:color w:val="000000"/>
          <w:sz w:val="24"/>
          <w:lang w:val="lv-LV"/>
        </w:rPr>
      </w:pPr>
    </w:p>
    <w:sectPr w:rsidR="008D1AE6" w:rsidRPr="008D1AE6" w:rsidSect="0082515D">
      <w:endnotePr>
        <w:numFmt w:val="decimal"/>
      </w:endnotePr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03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1">
    <w:nsid w:val="4C312A18"/>
    <w:multiLevelType w:val="hybridMultilevel"/>
    <w:tmpl w:val="4E52F67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3">
    <w:nsid w:val="6D8674E1"/>
    <w:multiLevelType w:val="hybridMultilevel"/>
    <w:tmpl w:val="78EEB456"/>
    <w:lvl w:ilvl="0" w:tplc="042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</w:compat>
  <w:rsids>
    <w:rsidRoot w:val="008D1AE6"/>
    <w:rsid w:val="00022944"/>
    <w:rsid w:val="00032F12"/>
    <w:rsid w:val="000B672C"/>
    <w:rsid w:val="000C3D07"/>
    <w:rsid w:val="00162DD2"/>
    <w:rsid w:val="00191DF1"/>
    <w:rsid w:val="001C2474"/>
    <w:rsid w:val="001C6703"/>
    <w:rsid w:val="001E055A"/>
    <w:rsid w:val="002003FC"/>
    <w:rsid w:val="003C32EF"/>
    <w:rsid w:val="00424365"/>
    <w:rsid w:val="00480B09"/>
    <w:rsid w:val="004E324E"/>
    <w:rsid w:val="005A2F29"/>
    <w:rsid w:val="005B5A03"/>
    <w:rsid w:val="006C58B4"/>
    <w:rsid w:val="00725537"/>
    <w:rsid w:val="007323AD"/>
    <w:rsid w:val="00736E5A"/>
    <w:rsid w:val="007624B4"/>
    <w:rsid w:val="007A034D"/>
    <w:rsid w:val="007D3845"/>
    <w:rsid w:val="00822731"/>
    <w:rsid w:val="0082515D"/>
    <w:rsid w:val="00867A37"/>
    <w:rsid w:val="008D1AE6"/>
    <w:rsid w:val="008F6344"/>
    <w:rsid w:val="0095498D"/>
    <w:rsid w:val="00A21DD2"/>
    <w:rsid w:val="00A3577E"/>
    <w:rsid w:val="00A441CE"/>
    <w:rsid w:val="00A50687"/>
    <w:rsid w:val="00A564A1"/>
    <w:rsid w:val="00AB6EA2"/>
    <w:rsid w:val="00AE728F"/>
    <w:rsid w:val="00B54022"/>
    <w:rsid w:val="00BD16F6"/>
    <w:rsid w:val="00C80F17"/>
    <w:rsid w:val="00C9484D"/>
    <w:rsid w:val="00CA382C"/>
    <w:rsid w:val="00CD2A54"/>
    <w:rsid w:val="00CF3E11"/>
    <w:rsid w:val="00DB34B6"/>
    <w:rsid w:val="00DD066B"/>
    <w:rsid w:val="00E24214"/>
    <w:rsid w:val="00E77930"/>
    <w:rsid w:val="00EE2560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87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CE"/>
    <w:rPr>
      <w:rFonts w:ascii="Tahoma" w:hAnsi="Tahoma" w:cs="Tahoma"/>
      <w:kern w:val="2"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CF3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11"/>
    <w:rPr>
      <w:rFonts w:ascii="Calibri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11"/>
    <w:rPr>
      <w:b/>
      <w:bCs/>
    </w:rPr>
  </w:style>
  <w:style w:type="paragraph" w:styleId="ListParagraph">
    <w:name w:val="List Paragraph"/>
    <w:basedOn w:val="Normal"/>
    <w:uiPriority w:val="34"/>
    <w:qFormat/>
    <w:rsid w:val="006C5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199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Grundmane</dc:creator>
  <cp:lastModifiedBy>Māris Leščinskis</cp:lastModifiedBy>
  <cp:revision>5</cp:revision>
  <dcterms:created xsi:type="dcterms:W3CDTF">2019-10-03T07:10:00Z</dcterms:created>
  <dcterms:modified xsi:type="dcterms:W3CDTF">2019-10-04T13:33:00Z</dcterms:modified>
</cp:coreProperties>
</file>