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ED1" w:rsidRPr="00D20919" w:rsidRDefault="00427702" w:rsidP="003956F5">
      <w:pPr>
        <w:jc w:val="center"/>
        <w:rPr>
          <w:rFonts w:ascii="Times New Roman" w:hAnsi="Times New Roman" w:cs="Times New Roman"/>
          <w:b/>
          <w:sz w:val="24"/>
          <w:szCs w:val="24"/>
        </w:rPr>
      </w:pPr>
      <w:r w:rsidRPr="00D20919">
        <w:rPr>
          <w:rFonts w:ascii="Times New Roman" w:hAnsi="Times New Roman" w:cs="Times New Roman"/>
          <w:b/>
          <w:sz w:val="24"/>
          <w:szCs w:val="24"/>
        </w:rPr>
        <w:t>TEMATISKO KONTROĻU „</w:t>
      </w:r>
      <w:r>
        <w:rPr>
          <w:rFonts w:ascii="Times New Roman" w:hAnsi="Times New Roman" w:cs="Times New Roman"/>
          <w:b/>
          <w:sz w:val="24"/>
          <w:szCs w:val="24"/>
        </w:rPr>
        <w:t>PILNS PLAUKTS” REZULTĀTI</w:t>
      </w:r>
    </w:p>
    <w:p w:rsidR="00F21C14" w:rsidRDefault="00F21C14" w:rsidP="00F21C14">
      <w:pPr>
        <w:spacing w:after="60" w:line="240" w:lineRule="auto"/>
        <w:ind w:firstLine="567"/>
        <w:jc w:val="both"/>
        <w:rPr>
          <w:rFonts w:ascii="Times New Roman" w:hAnsi="Times New Roman" w:cs="Times New Roman"/>
          <w:sz w:val="24"/>
          <w:szCs w:val="24"/>
        </w:rPr>
      </w:pPr>
    </w:p>
    <w:p w:rsidR="00E03F28" w:rsidRPr="001B7493" w:rsidRDefault="00427702" w:rsidP="001B7493">
      <w:pPr>
        <w:jc w:val="center"/>
        <w:rPr>
          <w:rFonts w:ascii="Times New Roman" w:hAnsi="Times New Roman" w:cs="Times New Roman"/>
          <w:b/>
          <w:sz w:val="24"/>
          <w:szCs w:val="24"/>
        </w:rPr>
      </w:pPr>
      <w:r w:rsidRPr="001B7493">
        <w:rPr>
          <w:rFonts w:ascii="Times New Roman" w:hAnsi="Times New Roman" w:cs="Times New Roman"/>
          <w:b/>
          <w:sz w:val="24"/>
          <w:szCs w:val="24"/>
        </w:rPr>
        <w:t>MAZGĀŠANAS LĪDZEKĻI</w:t>
      </w:r>
    </w:p>
    <w:p w:rsidR="004E048E" w:rsidRPr="00E541F1" w:rsidRDefault="00787C60" w:rsidP="007B3997">
      <w:pPr>
        <w:spacing w:after="120" w:line="240" w:lineRule="auto"/>
        <w:ind w:firstLine="567"/>
        <w:jc w:val="both"/>
        <w:rPr>
          <w:rFonts w:ascii="Times New Roman" w:hAnsi="Times New Roman" w:cs="Times New Roman"/>
          <w:color w:val="000000" w:themeColor="text1"/>
          <w:sz w:val="24"/>
          <w:szCs w:val="24"/>
        </w:rPr>
      </w:pPr>
      <w:r w:rsidRPr="00E541F1">
        <w:rPr>
          <w:rFonts w:ascii="Times New Roman" w:hAnsi="Times New Roman" w:cs="Times New Roman"/>
          <w:color w:val="000000" w:themeColor="text1"/>
          <w:sz w:val="24"/>
          <w:szCs w:val="24"/>
        </w:rPr>
        <w:t xml:space="preserve">No kontrolētajiem 98 trauku mazgāšanas līdzekļiem </w:t>
      </w:r>
      <w:r w:rsidR="00C03DB5" w:rsidRPr="00E541F1">
        <w:rPr>
          <w:rFonts w:ascii="Times New Roman" w:hAnsi="Times New Roman" w:cs="Times New Roman"/>
          <w:color w:val="000000" w:themeColor="text1"/>
          <w:sz w:val="24"/>
          <w:szCs w:val="24"/>
        </w:rPr>
        <w:t xml:space="preserve">74 bija piedāvājumā un tika kontrolēti tikai vienā veikalā, </w:t>
      </w:r>
      <w:r w:rsidRPr="00E541F1">
        <w:rPr>
          <w:rFonts w:ascii="Times New Roman" w:hAnsi="Times New Roman" w:cs="Times New Roman"/>
          <w:color w:val="000000" w:themeColor="text1"/>
          <w:sz w:val="24"/>
          <w:szCs w:val="24"/>
        </w:rPr>
        <w:t xml:space="preserve">24 </w:t>
      </w:r>
      <w:r w:rsidR="00C03DB5" w:rsidRPr="00E541F1">
        <w:rPr>
          <w:rFonts w:ascii="Times New Roman" w:hAnsi="Times New Roman" w:cs="Times New Roman"/>
          <w:color w:val="000000" w:themeColor="text1"/>
          <w:sz w:val="24"/>
          <w:szCs w:val="24"/>
        </w:rPr>
        <w:t xml:space="preserve">bija piedāvājumā un tika </w:t>
      </w:r>
      <w:r w:rsidRPr="00E541F1">
        <w:rPr>
          <w:rFonts w:ascii="Times New Roman" w:hAnsi="Times New Roman" w:cs="Times New Roman"/>
          <w:color w:val="000000" w:themeColor="text1"/>
          <w:sz w:val="24"/>
          <w:szCs w:val="24"/>
        </w:rPr>
        <w:t>kon</w:t>
      </w:r>
      <w:r w:rsidR="00C03DB5" w:rsidRPr="00E541F1">
        <w:rPr>
          <w:rFonts w:ascii="Times New Roman" w:hAnsi="Times New Roman" w:cs="Times New Roman"/>
          <w:color w:val="000000" w:themeColor="text1"/>
          <w:sz w:val="24"/>
          <w:szCs w:val="24"/>
        </w:rPr>
        <w:t>trolēti vairāk kā vienā veikalā</w:t>
      </w:r>
      <w:r w:rsidRPr="00E541F1">
        <w:rPr>
          <w:rFonts w:ascii="Times New Roman" w:hAnsi="Times New Roman" w:cs="Times New Roman"/>
          <w:color w:val="000000" w:themeColor="text1"/>
          <w:sz w:val="24"/>
          <w:szCs w:val="24"/>
        </w:rPr>
        <w:t>.</w:t>
      </w:r>
      <w:r w:rsidR="003C0D1E" w:rsidRPr="00E541F1">
        <w:rPr>
          <w:rFonts w:ascii="Times New Roman" w:hAnsi="Times New Roman" w:cs="Times New Roman"/>
          <w:color w:val="000000" w:themeColor="text1"/>
          <w:sz w:val="24"/>
          <w:szCs w:val="24"/>
        </w:rPr>
        <w:t xml:space="preserve"> </w:t>
      </w:r>
      <w:r w:rsidR="004E048E" w:rsidRPr="00E541F1">
        <w:rPr>
          <w:rFonts w:ascii="Times New Roman" w:hAnsi="Times New Roman" w:cs="Times New Roman"/>
          <w:color w:val="000000" w:themeColor="text1"/>
          <w:sz w:val="24"/>
          <w:szCs w:val="24"/>
        </w:rPr>
        <w:t xml:space="preserve">Kontrolēto mazgāšanas līdzekļu izcelsme ir no vairāk kā 14 valstīm (skatīt </w:t>
      </w:r>
      <w:r w:rsidR="00E541F1">
        <w:rPr>
          <w:rFonts w:ascii="Times New Roman" w:hAnsi="Times New Roman" w:cs="Times New Roman"/>
          <w:color w:val="000000" w:themeColor="text1"/>
          <w:sz w:val="24"/>
          <w:szCs w:val="24"/>
        </w:rPr>
        <w:t>1</w:t>
      </w:r>
      <w:r w:rsidR="004E048E" w:rsidRPr="00E541F1">
        <w:rPr>
          <w:rFonts w:ascii="Times New Roman" w:hAnsi="Times New Roman" w:cs="Times New Roman"/>
          <w:color w:val="000000" w:themeColor="text1"/>
          <w:sz w:val="24"/>
          <w:szCs w:val="24"/>
        </w:rPr>
        <w:t xml:space="preserve">.attēlā).  </w:t>
      </w:r>
      <w:r w:rsidR="009931BC" w:rsidRPr="00E541F1">
        <w:rPr>
          <w:rFonts w:ascii="Times New Roman" w:hAnsi="Times New Roman" w:cs="Times New Roman"/>
          <w:color w:val="000000" w:themeColor="text1"/>
          <w:sz w:val="24"/>
          <w:szCs w:val="24"/>
        </w:rPr>
        <w:t xml:space="preserve">17% </w:t>
      </w:r>
      <w:r w:rsidR="004E048E" w:rsidRPr="00E541F1">
        <w:rPr>
          <w:rFonts w:ascii="Times New Roman" w:hAnsi="Times New Roman" w:cs="Times New Roman"/>
          <w:color w:val="000000" w:themeColor="text1"/>
          <w:sz w:val="24"/>
          <w:szCs w:val="24"/>
        </w:rPr>
        <w:t xml:space="preserve">ražoti Latvijā, </w:t>
      </w:r>
      <w:r w:rsidR="009931BC" w:rsidRPr="00E541F1">
        <w:rPr>
          <w:rFonts w:ascii="Times New Roman" w:hAnsi="Times New Roman" w:cs="Times New Roman"/>
          <w:color w:val="000000" w:themeColor="text1"/>
          <w:sz w:val="24"/>
          <w:szCs w:val="24"/>
        </w:rPr>
        <w:t>17</w:t>
      </w:r>
      <w:r w:rsidR="004E048E" w:rsidRPr="00E541F1">
        <w:rPr>
          <w:rFonts w:ascii="Times New Roman" w:hAnsi="Times New Roman" w:cs="Times New Roman"/>
          <w:color w:val="000000" w:themeColor="text1"/>
          <w:sz w:val="24"/>
          <w:szCs w:val="24"/>
        </w:rPr>
        <w:t>%</w:t>
      </w:r>
      <w:r w:rsidR="003C0D1E" w:rsidRPr="00E541F1">
        <w:rPr>
          <w:rFonts w:ascii="Times New Roman" w:hAnsi="Times New Roman" w:cs="Times New Roman"/>
          <w:color w:val="000000" w:themeColor="text1"/>
          <w:sz w:val="24"/>
          <w:szCs w:val="24"/>
        </w:rPr>
        <w:t xml:space="preserve"> importēti Latvijā </w:t>
      </w:r>
      <w:r w:rsidR="004E048E" w:rsidRPr="00E541F1">
        <w:rPr>
          <w:rFonts w:ascii="Times New Roman" w:hAnsi="Times New Roman" w:cs="Times New Roman"/>
          <w:color w:val="000000" w:themeColor="text1"/>
          <w:sz w:val="24"/>
          <w:szCs w:val="24"/>
        </w:rPr>
        <w:t xml:space="preserve">no trešajām valstīm, </w:t>
      </w:r>
      <w:r w:rsidR="009931BC" w:rsidRPr="00E541F1">
        <w:rPr>
          <w:rFonts w:ascii="Times New Roman" w:hAnsi="Times New Roman" w:cs="Times New Roman"/>
          <w:color w:val="000000" w:themeColor="text1"/>
          <w:sz w:val="24"/>
          <w:szCs w:val="24"/>
        </w:rPr>
        <w:t xml:space="preserve">66% </w:t>
      </w:r>
      <w:r w:rsidR="003C0D1E" w:rsidRPr="00E541F1">
        <w:rPr>
          <w:rFonts w:ascii="Times New Roman" w:hAnsi="Times New Roman" w:cs="Times New Roman"/>
          <w:color w:val="000000" w:themeColor="text1"/>
          <w:sz w:val="24"/>
          <w:szCs w:val="24"/>
        </w:rPr>
        <w:t>izplatīšanai Latvijā ievesti no citām ES dalībvalstīm.</w:t>
      </w:r>
    </w:p>
    <w:p w:rsidR="00906920" w:rsidRDefault="003C0D1E" w:rsidP="00177C05">
      <w:pPr>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906920" w:rsidRPr="00906920">
        <w:rPr>
          <w:rFonts w:ascii="Times New Roman" w:hAnsi="Times New Roman" w:cs="Times New Roman"/>
          <w:noProof/>
          <w:sz w:val="24"/>
          <w:szCs w:val="24"/>
          <w:lang w:val="en-US"/>
        </w:rPr>
        <w:drawing>
          <wp:inline distT="0" distB="0" distL="0" distR="0">
            <wp:extent cx="4298508" cy="2441051"/>
            <wp:effectExtent l="19050" t="0" r="25842" b="0"/>
            <wp:docPr id="1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06920" w:rsidRPr="008F3427" w:rsidRDefault="00E541F1" w:rsidP="00906920">
      <w:pPr>
        <w:rPr>
          <w:rFonts w:ascii="Times New Roman" w:hAnsi="Times New Roman" w:cs="Times New Roman"/>
          <w:sz w:val="24"/>
          <w:szCs w:val="24"/>
        </w:rPr>
      </w:pPr>
      <w:r>
        <w:rPr>
          <w:rFonts w:ascii="Times New Roman" w:hAnsi="Times New Roman" w:cs="Times New Roman"/>
          <w:sz w:val="24"/>
          <w:szCs w:val="24"/>
        </w:rPr>
        <w:t>1</w:t>
      </w:r>
      <w:r w:rsidR="00906920">
        <w:rPr>
          <w:rFonts w:ascii="Times New Roman" w:hAnsi="Times New Roman" w:cs="Times New Roman"/>
          <w:sz w:val="24"/>
          <w:szCs w:val="24"/>
        </w:rPr>
        <w:t>.attēls. Kontrolēto mazgāšanas līdzekļu izcelsme.</w:t>
      </w:r>
    </w:p>
    <w:p w:rsidR="00950396" w:rsidRDefault="004A1603" w:rsidP="00194BED">
      <w:pPr>
        <w:spacing w:after="60" w:line="240" w:lineRule="auto"/>
        <w:ind w:firstLine="567"/>
        <w:jc w:val="both"/>
        <w:rPr>
          <w:rFonts w:ascii="Times New Roman" w:hAnsi="Times New Roman" w:cs="Times New Roman"/>
          <w:sz w:val="24"/>
          <w:szCs w:val="24"/>
        </w:rPr>
      </w:pPr>
      <w:r>
        <w:rPr>
          <w:rFonts w:ascii="Times New Roman" w:hAnsi="Times New Roman" w:cs="Times New Roman"/>
          <w:sz w:val="24"/>
          <w:szCs w:val="24"/>
        </w:rPr>
        <w:t>Kontroļu laikā mazumtirdzniecības veikalos</w:t>
      </w:r>
      <w:r w:rsidR="00387B6F">
        <w:rPr>
          <w:rFonts w:ascii="Times New Roman" w:hAnsi="Times New Roman" w:cs="Times New Roman"/>
          <w:sz w:val="24"/>
          <w:szCs w:val="24"/>
        </w:rPr>
        <w:t>,</w:t>
      </w:r>
      <w:r>
        <w:rPr>
          <w:rFonts w:ascii="Times New Roman" w:hAnsi="Times New Roman" w:cs="Times New Roman"/>
          <w:sz w:val="24"/>
          <w:szCs w:val="24"/>
        </w:rPr>
        <w:t xml:space="preserve"> </w:t>
      </w:r>
      <w:r w:rsidR="00E0105B">
        <w:rPr>
          <w:rFonts w:ascii="Times New Roman" w:hAnsi="Times New Roman" w:cs="Times New Roman"/>
          <w:sz w:val="24"/>
          <w:szCs w:val="24"/>
        </w:rPr>
        <w:t xml:space="preserve">izvērtējot </w:t>
      </w:r>
      <w:r w:rsidR="00733E1D">
        <w:rPr>
          <w:rFonts w:ascii="Times New Roman" w:hAnsi="Times New Roman" w:cs="Times New Roman"/>
          <w:sz w:val="24"/>
          <w:szCs w:val="24"/>
        </w:rPr>
        <w:t>mazgāšanas līdzekļu</w:t>
      </w:r>
      <w:r w:rsidR="00E0105B">
        <w:rPr>
          <w:rFonts w:ascii="Times New Roman" w:hAnsi="Times New Roman" w:cs="Times New Roman"/>
          <w:sz w:val="24"/>
          <w:szCs w:val="24"/>
        </w:rPr>
        <w:t xml:space="preserve"> noformējumu, iepakojumu un marķējumu </w:t>
      </w:r>
      <w:r>
        <w:rPr>
          <w:rFonts w:ascii="Times New Roman" w:hAnsi="Times New Roman" w:cs="Times New Roman"/>
          <w:sz w:val="24"/>
          <w:szCs w:val="24"/>
        </w:rPr>
        <w:t xml:space="preserve">tika pārbaudīta </w:t>
      </w:r>
      <w:r w:rsidR="00E0105B">
        <w:rPr>
          <w:rFonts w:ascii="Times New Roman" w:hAnsi="Times New Roman" w:cs="Times New Roman"/>
          <w:sz w:val="24"/>
          <w:szCs w:val="24"/>
        </w:rPr>
        <w:t xml:space="preserve">to atbilstība sekojošu normatīvo aktu prasībām, kā arī marķējumā </w:t>
      </w:r>
      <w:r w:rsidR="00B0379E">
        <w:rPr>
          <w:rFonts w:ascii="Times New Roman" w:hAnsi="Times New Roman" w:cs="Times New Roman"/>
          <w:sz w:val="24"/>
          <w:szCs w:val="24"/>
        </w:rPr>
        <w:t xml:space="preserve">latviešu valodā </w:t>
      </w:r>
      <w:r w:rsidR="00E0105B">
        <w:rPr>
          <w:rFonts w:ascii="Times New Roman" w:hAnsi="Times New Roman" w:cs="Times New Roman"/>
          <w:sz w:val="24"/>
          <w:szCs w:val="24"/>
        </w:rPr>
        <w:t>sniegtās informācijas atbilstība</w:t>
      </w:r>
      <w:r w:rsidR="00950396">
        <w:rPr>
          <w:rFonts w:ascii="Times New Roman" w:hAnsi="Times New Roman" w:cs="Times New Roman"/>
          <w:sz w:val="24"/>
          <w:szCs w:val="24"/>
        </w:rPr>
        <w:t>:</w:t>
      </w:r>
    </w:p>
    <w:p w:rsidR="00950396" w:rsidRPr="00433FC9" w:rsidRDefault="004A1603" w:rsidP="00194BED">
      <w:pPr>
        <w:pStyle w:val="ListParagraph"/>
        <w:numPr>
          <w:ilvl w:val="0"/>
          <w:numId w:val="2"/>
        </w:numPr>
        <w:spacing w:after="60" w:line="240" w:lineRule="auto"/>
        <w:ind w:left="714" w:hanging="357"/>
        <w:jc w:val="both"/>
        <w:rPr>
          <w:rFonts w:ascii="Times New Roman" w:hAnsi="Times New Roman" w:cs="Times New Roman"/>
          <w:sz w:val="24"/>
          <w:szCs w:val="24"/>
        </w:rPr>
      </w:pPr>
      <w:r w:rsidRPr="00433FC9">
        <w:rPr>
          <w:rFonts w:ascii="Times New Roman" w:hAnsi="Times New Roman" w:cs="Times New Roman"/>
          <w:sz w:val="24"/>
          <w:szCs w:val="24"/>
        </w:rPr>
        <w:t>Eiropas Parlamenta un Padomes Regula Nr.1272/2008 par vielu un maisījumu klasificēšanu, marķēšanu un iepakošanu (turpmāk – CLP Regula)</w:t>
      </w:r>
      <w:r w:rsidR="00433FC9">
        <w:rPr>
          <w:rFonts w:ascii="Times New Roman" w:hAnsi="Times New Roman" w:cs="Times New Roman"/>
          <w:sz w:val="24"/>
          <w:szCs w:val="24"/>
        </w:rPr>
        <w:t>;</w:t>
      </w:r>
    </w:p>
    <w:p w:rsidR="00E0105B" w:rsidRPr="00250CE4" w:rsidRDefault="004A1603" w:rsidP="00194BED">
      <w:pPr>
        <w:pStyle w:val="ListParagraph"/>
        <w:numPr>
          <w:ilvl w:val="0"/>
          <w:numId w:val="2"/>
        </w:numPr>
        <w:spacing w:after="60" w:line="240" w:lineRule="auto"/>
        <w:ind w:left="714" w:hanging="357"/>
        <w:jc w:val="both"/>
        <w:rPr>
          <w:rFonts w:ascii="Times New Roman" w:hAnsi="Times New Roman" w:cs="Times New Roman"/>
          <w:sz w:val="24"/>
          <w:szCs w:val="24"/>
        </w:rPr>
      </w:pPr>
      <w:r w:rsidRPr="00433FC9">
        <w:rPr>
          <w:rFonts w:ascii="Times New Roman" w:hAnsi="Times New Roman" w:cs="Times New Roman"/>
          <w:sz w:val="24"/>
          <w:szCs w:val="24"/>
        </w:rPr>
        <w:t>Eiropas Parlamenta un Padomes Regula Nr.648/2004 par mazgāšanas līdzekļiem (turpmāk – Regula Nr.648/2004 par mazgāšanas līdzekļiem)</w:t>
      </w:r>
      <w:r w:rsidR="00E0105B" w:rsidRPr="00433FC9">
        <w:rPr>
          <w:rFonts w:ascii="Times New Roman" w:hAnsi="Times New Roman" w:cs="Times New Roman"/>
          <w:sz w:val="24"/>
          <w:szCs w:val="24"/>
        </w:rPr>
        <w:t>;</w:t>
      </w:r>
    </w:p>
    <w:p w:rsidR="00E0105B" w:rsidRPr="00250CE4" w:rsidRDefault="00E0105B" w:rsidP="00194BED">
      <w:pPr>
        <w:pStyle w:val="Default"/>
        <w:numPr>
          <w:ilvl w:val="0"/>
          <w:numId w:val="2"/>
        </w:numPr>
        <w:spacing w:after="60"/>
        <w:jc w:val="both"/>
      </w:pPr>
      <w:r w:rsidRPr="00250CE4">
        <w:rPr>
          <w:iCs/>
        </w:rPr>
        <w:t>Eiropas Parlamenta un Padomes Regula Nr.528/2012 par biocīdu piedāvāšanu tirgū un lietošanu</w:t>
      </w:r>
      <w:r w:rsidR="00433FC9">
        <w:rPr>
          <w:iCs/>
        </w:rPr>
        <w:t xml:space="preserve">, </w:t>
      </w:r>
      <w:r w:rsidRPr="00250CE4">
        <w:rPr>
          <w:iCs/>
        </w:rPr>
        <w:t xml:space="preserve">pārbaudot, vai mazgāšanas līdzekļu </w:t>
      </w:r>
      <w:r w:rsidR="00387B6F">
        <w:rPr>
          <w:iCs/>
        </w:rPr>
        <w:t>marķējumā norādīti</w:t>
      </w:r>
      <w:r w:rsidRPr="00250CE4">
        <w:rPr>
          <w:iCs/>
        </w:rPr>
        <w:t xml:space="preserve"> atļauti konservanti;</w:t>
      </w:r>
    </w:p>
    <w:p w:rsidR="00E0105B" w:rsidRPr="00250CE4" w:rsidRDefault="00E0105B" w:rsidP="00194BED">
      <w:pPr>
        <w:pStyle w:val="Default"/>
        <w:numPr>
          <w:ilvl w:val="0"/>
          <w:numId w:val="2"/>
        </w:numPr>
        <w:spacing w:after="60"/>
        <w:jc w:val="both"/>
      </w:pPr>
      <w:r w:rsidRPr="00250CE4">
        <w:rPr>
          <w:iCs/>
        </w:rPr>
        <w:t xml:space="preserve">Eiropas Parlamenta un Padomes </w:t>
      </w:r>
      <w:r w:rsidRPr="00250CE4">
        <w:t>Regula Nr.1907/2006 kas attiecas uz ķimikāliju reģistrēšanu, vērtēšanu, licencēšanu un ierobežošanu (REACH Regula), pārbaudot bīstamo ķīmisko vielu un maisījumu tirdzniecības ierobežojum</w:t>
      </w:r>
      <w:r w:rsidR="002272B6">
        <w:t>u</w:t>
      </w:r>
      <w:r w:rsidRPr="00250CE4">
        <w:t xml:space="preserve"> un aizliegumu ievērošanu. </w:t>
      </w:r>
    </w:p>
    <w:p w:rsidR="00E0105B" w:rsidRPr="00E0105B" w:rsidRDefault="00E0105B" w:rsidP="00194BED">
      <w:pPr>
        <w:pStyle w:val="Default"/>
        <w:spacing w:after="60"/>
        <w:jc w:val="both"/>
      </w:pPr>
    </w:p>
    <w:p w:rsidR="00E77776" w:rsidRDefault="00A547E3" w:rsidP="00194BED">
      <w:pPr>
        <w:spacing w:after="60" w:line="240" w:lineRule="auto"/>
        <w:ind w:firstLine="567"/>
        <w:jc w:val="both"/>
        <w:rPr>
          <w:rFonts w:ascii="Times New Roman" w:hAnsi="Times New Roman" w:cs="Times New Roman"/>
          <w:sz w:val="24"/>
          <w:szCs w:val="24"/>
        </w:rPr>
      </w:pPr>
      <w:r>
        <w:rPr>
          <w:rFonts w:ascii="Times New Roman" w:hAnsi="Times New Roman" w:cs="Times New Roman"/>
          <w:sz w:val="24"/>
          <w:szCs w:val="24"/>
        </w:rPr>
        <w:t>K</w:t>
      </w:r>
      <w:r w:rsidR="00001BD1" w:rsidRPr="00950396">
        <w:rPr>
          <w:rFonts w:ascii="Times New Roman" w:hAnsi="Times New Roman" w:cs="Times New Roman"/>
          <w:sz w:val="24"/>
          <w:szCs w:val="24"/>
        </w:rPr>
        <w:t>o</w:t>
      </w:r>
      <w:r>
        <w:rPr>
          <w:rFonts w:ascii="Times New Roman" w:hAnsi="Times New Roman" w:cs="Times New Roman"/>
          <w:sz w:val="24"/>
          <w:szCs w:val="24"/>
        </w:rPr>
        <w:t>ntroļu rezultāti liecināja, ka</w:t>
      </w:r>
      <w:r w:rsidR="00001BD1">
        <w:rPr>
          <w:rFonts w:ascii="Times New Roman" w:hAnsi="Times New Roman" w:cs="Times New Roman"/>
          <w:sz w:val="24"/>
          <w:szCs w:val="24"/>
        </w:rPr>
        <w:t xml:space="preserve"> 75</w:t>
      </w:r>
      <w:r w:rsidR="007F6FDE">
        <w:rPr>
          <w:rFonts w:ascii="Times New Roman" w:hAnsi="Times New Roman" w:cs="Times New Roman"/>
          <w:sz w:val="24"/>
          <w:szCs w:val="24"/>
        </w:rPr>
        <w:t xml:space="preserve"> (7</w:t>
      </w:r>
      <w:r w:rsidR="00001BD1">
        <w:rPr>
          <w:rFonts w:ascii="Times New Roman" w:hAnsi="Times New Roman" w:cs="Times New Roman"/>
          <w:sz w:val="24"/>
          <w:szCs w:val="24"/>
        </w:rPr>
        <w:t>7</w:t>
      </w:r>
      <w:r w:rsidR="007F6FDE">
        <w:rPr>
          <w:rFonts w:ascii="Times New Roman" w:hAnsi="Times New Roman" w:cs="Times New Roman"/>
          <w:sz w:val="24"/>
          <w:szCs w:val="24"/>
        </w:rPr>
        <w:t xml:space="preserve">%) no pārbaudītajiem mazgāšanas līdzekļiem bija atbilstoši </w:t>
      </w:r>
      <w:r w:rsidR="00950396">
        <w:rPr>
          <w:rFonts w:ascii="Times New Roman" w:hAnsi="Times New Roman" w:cs="Times New Roman"/>
          <w:sz w:val="24"/>
          <w:szCs w:val="24"/>
        </w:rPr>
        <w:t xml:space="preserve">visu kontrolēto </w:t>
      </w:r>
      <w:r w:rsidR="007F6FDE">
        <w:rPr>
          <w:rFonts w:ascii="Times New Roman" w:hAnsi="Times New Roman" w:cs="Times New Roman"/>
          <w:sz w:val="24"/>
          <w:szCs w:val="24"/>
        </w:rPr>
        <w:t>normatīvo aktu prasībām. N</w:t>
      </w:r>
      <w:r w:rsidR="001F6937" w:rsidRPr="008F3427">
        <w:rPr>
          <w:rFonts w:ascii="Times New Roman" w:hAnsi="Times New Roman" w:cs="Times New Roman"/>
          <w:sz w:val="24"/>
          <w:szCs w:val="24"/>
        </w:rPr>
        <w:t>eatbilstības marķējumā</w:t>
      </w:r>
      <w:r w:rsidR="00491ED7">
        <w:rPr>
          <w:rFonts w:ascii="Times New Roman" w:hAnsi="Times New Roman" w:cs="Times New Roman"/>
          <w:sz w:val="24"/>
          <w:szCs w:val="24"/>
        </w:rPr>
        <w:t xml:space="preserve"> </w:t>
      </w:r>
      <w:r w:rsidR="00491ED7" w:rsidRPr="00387B6F">
        <w:rPr>
          <w:rFonts w:ascii="Times New Roman" w:hAnsi="Times New Roman" w:cs="Times New Roman"/>
          <w:sz w:val="24"/>
          <w:szCs w:val="24"/>
        </w:rPr>
        <w:t xml:space="preserve">latviešu valodā </w:t>
      </w:r>
      <w:r w:rsidR="001F6937" w:rsidRPr="00387B6F">
        <w:rPr>
          <w:rFonts w:ascii="Times New Roman" w:hAnsi="Times New Roman" w:cs="Times New Roman"/>
          <w:sz w:val="24"/>
          <w:szCs w:val="24"/>
        </w:rPr>
        <w:t xml:space="preserve"> tika konstatētas 23 (23%) produktiem.</w:t>
      </w:r>
    </w:p>
    <w:p w:rsidR="00E77776" w:rsidRDefault="00E77776" w:rsidP="00177C05">
      <w:pPr>
        <w:ind w:firstLine="567"/>
        <w:jc w:val="both"/>
        <w:rPr>
          <w:rFonts w:ascii="Times New Roman" w:hAnsi="Times New Roman" w:cs="Times New Roman"/>
          <w:sz w:val="24"/>
          <w:szCs w:val="24"/>
        </w:rPr>
      </w:pPr>
      <w:r w:rsidRPr="00E77776">
        <w:rPr>
          <w:rFonts w:ascii="Times New Roman" w:hAnsi="Times New Roman" w:cs="Times New Roman"/>
          <w:noProof/>
          <w:sz w:val="24"/>
          <w:szCs w:val="24"/>
          <w:lang w:val="en-US"/>
        </w:rPr>
        <w:lastRenderedPageBreak/>
        <w:drawing>
          <wp:inline distT="0" distB="0" distL="0" distR="0">
            <wp:extent cx="4417777" cy="2496709"/>
            <wp:effectExtent l="19050" t="0" r="20873" b="0"/>
            <wp:docPr id="16"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77776" w:rsidRDefault="00387B6F" w:rsidP="00194BED">
      <w:pPr>
        <w:spacing w:after="60" w:line="240" w:lineRule="auto"/>
        <w:ind w:firstLine="567"/>
        <w:jc w:val="both"/>
        <w:rPr>
          <w:rFonts w:ascii="Times New Roman" w:hAnsi="Times New Roman" w:cs="Times New Roman"/>
          <w:sz w:val="24"/>
          <w:szCs w:val="24"/>
        </w:rPr>
      </w:pPr>
      <w:r>
        <w:rPr>
          <w:rFonts w:ascii="Times New Roman" w:hAnsi="Times New Roman" w:cs="Times New Roman"/>
          <w:sz w:val="24"/>
          <w:szCs w:val="24"/>
        </w:rPr>
        <w:t>2</w:t>
      </w:r>
      <w:r w:rsidR="00E77776">
        <w:rPr>
          <w:rFonts w:ascii="Times New Roman" w:hAnsi="Times New Roman" w:cs="Times New Roman"/>
          <w:sz w:val="24"/>
          <w:szCs w:val="24"/>
        </w:rPr>
        <w:t>. attēls. Kontrolēto mazgāšanas līdzekļu skaits ar atbilstošu un neatbilstošu marķējumu.</w:t>
      </w:r>
    </w:p>
    <w:p w:rsidR="00E4401B" w:rsidRDefault="00E4401B" w:rsidP="00194BED">
      <w:pPr>
        <w:spacing w:after="60" w:line="240" w:lineRule="auto"/>
        <w:ind w:firstLine="567"/>
        <w:jc w:val="both"/>
        <w:rPr>
          <w:rFonts w:ascii="Times New Roman" w:hAnsi="Times New Roman" w:cs="Times New Roman"/>
          <w:sz w:val="24"/>
          <w:szCs w:val="24"/>
        </w:rPr>
      </w:pPr>
      <w:r>
        <w:rPr>
          <w:rFonts w:ascii="Times New Roman" w:hAnsi="Times New Roman" w:cs="Times New Roman"/>
          <w:sz w:val="24"/>
          <w:szCs w:val="24"/>
        </w:rPr>
        <w:t>Jāatzīmē, ka neatbilstība</w:t>
      </w:r>
      <w:r w:rsidR="00177C05">
        <w:rPr>
          <w:rFonts w:ascii="Times New Roman" w:hAnsi="Times New Roman" w:cs="Times New Roman"/>
          <w:sz w:val="24"/>
          <w:szCs w:val="24"/>
        </w:rPr>
        <w:t>s</w:t>
      </w:r>
      <w:r>
        <w:rPr>
          <w:rFonts w:ascii="Times New Roman" w:hAnsi="Times New Roman" w:cs="Times New Roman"/>
          <w:sz w:val="24"/>
          <w:szCs w:val="24"/>
        </w:rPr>
        <w:t xml:space="preserve"> marķējumā valsts valodā konstatētas tikai importētiem </w:t>
      </w:r>
      <w:r w:rsidR="00177C05">
        <w:rPr>
          <w:rFonts w:ascii="Times New Roman" w:hAnsi="Times New Roman" w:cs="Times New Roman"/>
          <w:sz w:val="24"/>
          <w:szCs w:val="24"/>
        </w:rPr>
        <w:t>(iepirkti trešajā</w:t>
      </w:r>
      <w:r w:rsidR="0082537A">
        <w:rPr>
          <w:rFonts w:ascii="Times New Roman" w:hAnsi="Times New Roman" w:cs="Times New Roman"/>
          <w:sz w:val="24"/>
          <w:szCs w:val="24"/>
        </w:rPr>
        <w:t>s</w:t>
      </w:r>
      <w:r w:rsidR="00177C05">
        <w:rPr>
          <w:rFonts w:ascii="Times New Roman" w:hAnsi="Times New Roman" w:cs="Times New Roman"/>
          <w:sz w:val="24"/>
          <w:szCs w:val="24"/>
        </w:rPr>
        <w:t xml:space="preserve"> valstī</w:t>
      </w:r>
      <w:r w:rsidR="0082537A">
        <w:rPr>
          <w:rFonts w:ascii="Times New Roman" w:hAnsi="Times New Roman" w:cs="Times New Roman"/>
          <w:sz w:val="24"/>
          <w:szCs w:val="24"/>
        </w:rPr>
        <w:t>s</w:t>
      </w:r>
      <w:r w:rsidR="00177C05">
        <w:rPr>
          <w:rFonts w:ascii="Times New Roman" w:hAnsi="Times New Roman" w:cs="Times New Roman"/>
          <w:sz w:val="24"/>
          <w:szCs w:val="24"/>
        </w:rPr>
        <w:t xml:space="preserve">) </w:t>
      </w:r>
      <w:r>
        <w:rPr>
          <w:rFonts w:ascii="Times New Roman" w:hAnsi="Times New Roman" w:cs="Times New Roman"/>
          <w:sz w:val="24"/>
          <w:szCs w:val="24"/>
        </w:rPr>
        <w:t>un izplatītiem (iepirkti citā</w:t>
      </w:r>
      <w:r w:rsidR="0082537A">
        <w:rPr>
          <w:rFonts w:ascii="Times New Roman" w:hAnsi="Times New Roman" w:cs="Times New Roman"/>
          <w:sz w:val="24"/>
          <w:szCs w:val="24"/>
        </w:rPr>
        <w:t>s</w:t>
      </w:r>
      <w:r>
        <w:rPr>
          <w:rFonts w:ascii="Times New Roman" w:hAnsi="Times New Roman" w:cs="Times New Roman"/>
          <w:sz w:val="24"/>
          <w:szCs w:val="24"/>
        </w:rPr>
        <w:t xml:space="preserve"> ES valstī</w:t>
      </w:r>
      <w:r w:rsidR="0082537A">
        <w:rPr>
          <w:rFonts w:ascii="Times New Roman" w:hAnsi="Times New Roman" w:cs="Times New Roman"/>
          <w:sz w:val="24"/>
          <w:szCs w:val="24"/>
        </w:rPr>
        <w:t>s</w:t>
      </w:r>
      <w:r>
        <w:rPr>
          <w:rFonts w:ascii="Times New Roman" w:hAnsi="Times New Roman" w:cs="Times New Roman"/>
          <w:sz w:val="24"/>
          <w:szCs w:val="24"/>
        </w:rPr>
        <w:t>) mazgāšanas līdzekļiem. Latvijā ražotiem mazgāšanas līdzekļiem</w:t>
      </w:r>
      <w:r w:rsidR="00906920">
        <w:rPr>
          <w:rFonts w:ascii="Times New Roman" w:hAnsi="Times New Roman" w:cs="Times New Roman"/>
          <w:sz w:val="24"/>
          <w:szCs w:val="24"/>
        </w:rPr>
        <w:t xml:space="preserve"> (17)</w:t>
      </w:r>
      <w:r>
        <w:rPr>
          <w:rFonts w:ascii="Times New Roman" w:hAnsi="Times New Roman" w:cs="Times New Roman"/>
          <w:sz w:val="24"/>
          <w:szCs w:val="24"/>
        </w:rPr>
        <w:t xml:space="preserve"> neatbilstības </w:t>
      </w:r>
      <w:r w:rsidR="00E47794">
        <w:rPr>
          <w:rFonts w:ascii="Times New Roman" w:hAnsi="Times New Roman" w:cs="Times New Roman"/>
          <w:sz w:val="24"/>
          <w:szCs w:val="24"/>
        </w:rPr>
        <w:t xml:space="preserve">marķējumā </w:t>
      </w:r>
      <w:r>
        <w:rPr>
          <w:rFonts w:ascii="Times New Roman" w:hAnsi="Times New Roman" w:cs="Times New Roman"/>
          <w:sz w:val="24"/>
          <w:szCs w:val="24"/>
        </w:rPr>
        <w:t>netika konstatētas</w:t>
      </w:r>
      <w:r w:rsidR="00906920">
        <w:rPr>
          <w:rFonts w:ascii="Times New Roman" w:hAnsi="Times New Roman" w:cs="Times New Roman"/>
          <w:sz w:val="24"/>
          <w:szCs w:val="24"/>
        </w:rPr>
        <w:t xml:space="preserve"> (</w:t>
      </w:r>
      <w:r w:rsidR="00387B6F">
        <w:rPr>
          <w:rFonts w:ascii="Times New Roman" w:hAnsi="Times New Roman" w:cs="Times New Roman"/>
          <w:sz w:val="24"/>
          <w:szCs w:val="24"/>
        </w:rPr>
        <w:t>2.</w:t>
      </w:r>
      <w:r w:rsidR="00906920">
        <w:rPr>
          <w:rFonts w:ascii="Times New Roman" w:hAnsi="Times New Roman" w:cs="Times New Roman"/>
          <w:sz w:val="24"/>
          <w:szCs w:val="24"/>
        </w:rPr>
        <w:t xml:space="preserve"> attēls)</w:t>
      </w:r>
      <w:r>
        <w:rPr>
          <w:rFonts w:ascii="Times New Roman" w:hAnsi="Times New Roman" w:cs="Times New Roman"/>
          <w:sz w:val="24"/>
          <w:szCs w:val="24"/>
        </w:rPr>
        <w:t>.</w:t>
      </w:r>
    </w:p>
    <w:p w:rsidR="00A547E3" w:rsidRDefault="00A547E3" w:rsidP="00950396">
      <w:pPr>
        <w:jc w:val="both"/>
        <w:rPr>
          <w:rFonts w:ascii="Times New Roman" w:hAnsi="Times New Roman" w:cs="Times New Roman"/>
          <w:b/>
          <w:sz w:val="24"/>
          <w:szCs w:val="24"/>
        </w:rPr>
      </w:pPr>
    </w:p>
    <w:p w:rsidR="00950396" w:rsidRPr="00950396" w:rsidRDefault="00950396" w:rsidP="00950396">
      <w:pPr>
        <w:jc w:val="both"/>
        <w:rPr>
          <w:rFonts w:ascii="Times New Roman" w:hAnsi="Times New Roman" w:cs="Times New Roman"/>
          <w:b/>
          <w:sz w:val="24"/>
          <w:szCs w:val="24"/>
        </w:rPr>
      </w:pPr>
      <w:r w:rsidRPr="00950396">
        <w:rPr>
          <w:rFonts w:ascii="Times New Roman" w:hAnsi="Times New Roman" w:cs="Times New Roman"/>
          <w:b/>
          <w:sz w:val="24"/>
          <w:szCs w:val="24"/>
        </w:rPr>
        <w:t>Kontrolēto mazgāšanas līdzekļu atbilstība CLP regulas prasībām</w:t>
      </w:r>
    </w:p>
    <w:p w:rsidR="007764A2" w:rsidRDefault="00993BA6" w:rsidP="00194BED">
      <w:pPr>
        <w:spacing w:after="6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CLP regula nosaka kritērijus ķīmisko vielu un ķīmisko maisījumu </w:t>
      </w:r>
      <w:r w:rsidR="00414628">
        <w:rPr>
          <w:rFonts w:ascii="Times New Roman" w:hAnsi="Times New Roman" w:cs="Times New Roman"/>
          <w:sz w:val="24"/>
          <w:szCs w:val="24"/>
        </w:rPr>
        <w:t>klasificēšanai</w:t>
      </w:r>
      <w:r>
        <w:rPr>
          <w:rFonts w:ascii="Times New Roman" w:hAnsi="Times New Roman" w:cs="Times New Roman"/>
          <w:sz w:val="24"/>
          <w:szCs w:val="24"/>
        </w:rPr>
        <w:t xml:space="preserve"> kādā no </w:t>
      </w:r>
      <w:r w:rsidR="002B045B">
        <w:rPr>
          <w:rFonts w:ascii="Times New Roman" w:hAnsi="Times New Roman" w:cs="Times New Roman"/>
          <w:sz w:val="24"/>
          <w:szCs w:val="24"/>
        </w:rPr>
        <w:t xml:space="preserve">trim </w:t>
      </w:r>
      <w:r>
        <w:rPr>
          <w:rFonts w:ascii="Times New Roman" w:hAnsi="Times New Roman" w:cs="Times New Roman"/>
          <w:sz w:val="24"/>
          <w:szCs w:val="24"/>
        </w:rPr>
        <w:t xml:space="preserve">bīstamības klasēm (fizikāls, ar veselību vai </w:t>
      </w:r>
      <w:r w:rsidR="0051764C">
        <w:rPr>
          <w:rFonts w:ascii="Times New Roman" w:hAnsi="Times New Roman" w:cs="Times New Roman"/>
          <w:sz w:val="24"/>
          <w:szCs w:val="24"/>
        </w:rPr>
        <w:t xml:space="preserve">ar </w:t>
      </w:r>
      <w:r>
        <w:rPr>
          <w:rFonts w:ascii="Times New Roman" w:hAnsi="Times New Roman" w:cs="Times New Roman"/>
          <w:sz w:val="24"/>
          <w:szCs w:val="24"/>
        </w:rPr>
        <w:t xml:space="preserve">vidi saistīts bīstamības veids) un </w:t>
      </w:r>
      <w:r w:rsidR="00414628">
        <w:rPr>
          <w:rFonts w:ascii="Times New Roman" w:hAnsi="Times New Roman" w:cs="Times New Roman"/>
          <w:sz w:val="24"/>
          <w:szCs w:val="24"/>
        </w:rPr>
        <w:t xml:space="preserve">attiecīgajām kategorijām (kritēriju iedalījums katrā no klasēm, norādot bīstamības nopietnību). </w:t>
      </w:r>
      <w:r w:rsidR="006408E1">
        <w:rPr>
          <w:rFonts w:ascii="Times New Roman" w:hAnsi="Times New Roman" w:cs="Times New Roman"/>
          <w:sz w:val="24"/>
          <w:szCs w:val="24"/>
        </w:rPr>
        <w:t>Atbilstoši CLP Regulas 17.</w:t>
      </w:r>
      <w:r w:rsidR="00A547E3">
        <w:rPr>
          <w:rFonts w:ascii="Times New Roman" w:hAnsi="Times New Roman" w:cs="Times New Roman"/>
          <w:sz w:val="24"/>
          <w:szCs w:val="24"/>
        </w:rPr>
        <w:t> </w:t>
      </w:r>
      <w:r w:rsidR="006408E1">
        <w:rPr>
          <w:rFonts w:ascii="Times New Roman" w:hAnsi="Times New Roman" w:cs="Times New Roman"/>
          <w:sz w:val="24"/>
          <w:szCs w:val="24"/>
        </w:rPr>
        <w:t xml:space="preserve">pantam, uz katras ķīmiskās vielas vai maisījuma, kas pēc </w:t>
      </w:r>
      <w:r w:rsidR="00A547E3">
        <w:rPr>
          <w:rFonts w:ascii="Times New Roman" w:hAnsi="Times New Roman" w:cs="Times New Roman"/>
          <w:sz w:val="24"/>
          <w:szCs w:val="24"/>
        </w:rPr>
        <w:t xml:space="preserve">CLP </w:t>
      </w:r>
      <w:r w:rsidR="006408E1">
        <w:rPr>
          <w:rFonts w:ascii="Times New Roman" w:hAnsi="Times New Roman" w:cs="Times New Roman"/>
          <w:sz w:val="24"/>
          <w:szCs w:val="24"/>
        </w:rPr>
        <w:t>noteiktajiem kritērijiem klasificē</w:t>
      </w:r>
      <w:r w:rsidR="00A547E3">
        <w:rPr>
          <w:rFonts w:ascii="Times New Roman" w:hAnsi="Times New Roman" w:cs="Times New Roman"/>
          <w:sz w:val="24"/>
          <w:szCs w:val="24"/>
        </w:rPr>
        <w:t>t</w:t>
      </w:r>
      <w:r w:rsidR="006408E1">
        <w:rPr>
          <w:rFonts w:ascii="Times New Roman" w:hAnsi="Times New Roman" w:cs="Times New Roman"/>
          <w:sz w:val="24"/>
          <w:szCs w:val="24"/>
        </w:rPr>
        <w:t>s kā b</w:t>
      </w:r>
      <w:r w:rsidR="007764A2">
        <w:rPr>
          <w:rFonts w:ascii="Times New Roman" w:hAnsi="Times New Roman" w:cs="Times New Roman"/>
          <w:sz w:val="24"/>
          <w:szCs w:val="24"/>
        </w:rPr>
        <w:t>īstams</w:t>
      </w:r>
      <w:r w:rsidR="006408E1">
        <w:rPr>
          <w:rFonts w:ascii="Times New Roman" w:hAnsi="Times New Roman" w:cs="Times New Roman"/>
          <w:sz w:val="24"/>
          <w:szCs w:val="24"/>
        </w:rPr>
        <w:t xml:space="preserve">, </w:t>
      </w:r>
      <w:r w:rsidR="00A547E3">
        <w:rPr>
          <w:rFonts w:ascii="Times New Roman" w:hAnsi="Times New Roman" w:cs="Times New Roman"/>
          <w:sz w:val="24"/>
          <w:szCs w:val="24"/>
        </w:rPr>
        <w:t xml:space="preserve">ir </w:t>
      </w:r>
      <w:r w:rsidR="006408E1">
        <w:rPr>
          <w:rFonts w:ascii="Times New Roman" w:hAnsi="Times New Roman" w:cs="Times New Roman"/>
          <w:sz w:val="24"/>
          <w:szCs w:val="24"/>
        </w:rPr>
        <w:t>nepieciešama etiķete ar šādiem elementiem: informācija par piegādātāju, nominālais daudzums iepakojumā, produkta identifikatori un attiecīgajā gadījumā – bīstamības piktogrammas, signālvārds, bīstamības apzīmējumi, drošības prasību apzīmējumi un papildus informācija.</w:t>
      </w:r>
    </w:p>
    <w:p w:rsidR="002B20A1" w:rsidRDefault="002B20A1" w:rsidP="00194BED">
      <w:pPr>
        <w:spacing w:after="6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Atkarībā no sastāvā esošo ķīmisko vielu (parasti tās ir virsmaktīvās vielas, kuras nodrošina galveno mazgāšanas funkciju) īpašībām plašam patēriņam paredzētie trauku mazgāšanas līdzekļi visbiežāk tiek klasificēti un marķēti kā kairinoši. No kontrolētajiem 62 mazgāšanas </w:t>
      </w:r>
      <w:r w:rsidRPr="002B20A1">
        <w:rPr>
          <w:rFonts w:ascii="Times New Roman" w:hAnsi="Times New Roman" w:cs="Times New Roman"/>
          <w:sz w:val="24"/>
          <w:szCs w:val="24"/>
        </w:rPr>
        <w:t>līdzekļi klas</w:t>
      </w:r>
      <w:r w:rsidR="008D26FF">
        <w:rPr>
          <w:rFonts w:ascii="Times New Roman" w:hAnsi="Times New Roman" w:cs="Times New Roman"/>
          <w:sz w:val="24"/>
          <w:szCs w:val="24"/>
        </w:rPr>
        <w:t xml:space="preserve">ificēti ar kairinošu iedarbību </w:t>
      </w:r>
      <w:r w:rsidRPr="002B20A1">
        <w:rPr>
          <w:rFonts w:ascii="Times New Roman" w:hAnsi="Times New Roman" w:cs="Times New Roman"/>
          <w:sz w:val="24"/>
          <w:szCs w:val="24"/>
        </w:rPr>
        <w:t>acīm (</w:t>
      </w:r>
      <w:r>
        <w:rPr>
          <w:rFonts w:ascii="Times New Roman" w:hAnsi="Times New Roman" w:cs="Times New Roman"/>
          <w:sz w:val="24"/>
          <w:szCs w:val="24"/>
        </w:rPr>
        <w:t>3</w:t>
      </w:r>
      <w:r w:rsidRPr="002B20A1">
        <w:rPr>
          <w:rFonts w:ascii="Times New Roman" w:hAnsi="Times New Roman" w:cs="Times New Roman"/>
          <w:sz w:val="24"/>
          <w:szCs w:val="24"/>
        </w:rPr>
        <w:t>.attēls) un marķēti ar</w:t>
      </w:r>
      <w:r>
        <w:rPr>
          <w:rFonts w:ascii="Times New Roman" w:hAnsi="Times New Roman" w:cs="Times New Roman"/>
          <w:sz w:val="24"/>
          <w:szCs w:val="24"/>
        </w:rPr>
        <w:t xml:space="preserve"> piktogrammu GHS07</w:t>
      </w:r>
      <w:r w:rsidRPr="00DD208B">
        <w:t xml:space="preserve"> </w:t>
      </w:r>
      <w:r>
        <w:rPr>
          <w:noProof/>
          <w:lang w:val="en-US"/>
        </w:rPr>
        <w:drawing>
          <wp:inline distT="0" distB="0" distL="0" distR="0">
            <wp:extent cx="283100" cy="283100"/>
            <wp:effectExtent l="19050" t="0" r="2650" b="0"/>
            <wp:docPr id="11" name="Picture 7" descr="Image result for 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ghs07"/>
                    <pic:cNvPicPr>
                      <a:picLocks noChangeAspect="1" noChangeArrowheads="1"/>
                    </pic:cNvPicPr>
                  </pic:nvPicPr>
                  <pic:blipFill>
                    <a:blip r:embed="rId8" cstate="print"/>
                    <a:srcRect/>
                    <a:stretch>
                      <a:fillRect/>
                    </a:stretch>
                  </pic:blipFill>
                  <pic:spPr bwMode="auto">
                    <a:xfrm>
                      <a:off x="0" y="0"/>
                      <a:ext cx="283735" cy="283735"/>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signālvārdu </w:t>
      </w:r>
      <w:r w:rsidRPr="00667ACB">
        <w:rPr>
          <w:rFonts w:ascii="Times New Roman" w:hAnsi="Times New Roman" w:cs="Times New Roman"/>
          <w:sz w:val="24"/>
          <w:szCs w:val="24"/>
        </w:rPr>
        <w:t>„Uzmanību”</w:t>
      </w:r>
      <w:r>
        <w:rPr>
          <w:rFonts w:ascii="Times New Roman" w:hAnsi="Times New Roman" w:cs="Times New Roman"/>
          <w:sz w:val="24"/>
          <w:szCs w:val="24"/>
        </w:rPr>
        <w:t xml:space="preserve"> un bīstamības apzīmējumu H319 „</w:t>
      </w:r>
      <w:r w:rsidRPr="00D178BD">
        <w:rPr>
          <w:rFonts w:ascii="Times New Roman" w:hAnsi="Times New Roman" w:cs="Times New Roman"/>
          <w:sz w:val="24"/>
          <w:szCs w:val="24"/>
        </w:rPr>
        <w:t>Izraisa nopietnu acu kairinājumu</w:t>
      </w:r>
      <w:r>
        <w:rPr>
          <w:rFonts w:ascii="Times New Roman" w:hAnsi="Times New Roman" w:cs="Times New Roman"/>
          <w:sz w:val="24"/>
          <w:szCs w:val="24"/>
        </w:rPr>
        <w:t>”, bet 14 mazgāšanas līdzekļu bīstamība bija nopietnāka. Tie bija marķēti ar piktogrammu GHS05</w:t>
      </w:r>
      <w:r>
        <w:rPr>
          <w:rFonts w:ascii="Times New Roman" w:hAnsi="Times New Roman" w:cs="Times New Roman"/>
          <w:noProof/>
          <w:sz w:val="24"/>
          <w:szCs w:val="24"/>
          <w:lang w:val="en-US"/>
        </w:rPr>
        <w:drawing>
          <wp:inline distT="0" distB="0" distL="0" distR="0">
            <wp:extent cx="294198" cy="294198"/>
            <wp:effectExtent l="19050" t="0" r="0" b="0"/>
            <wp:docPr id="20" name="Picture 1" descr="File:GHS-pictogram-acid.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GHS-pictogram-acid.svg"/>
                    <pic:cNvPicPr>
                      <a:picLocks noChangeAspect="1" noChangeArrowheads="1"/>
                    </pic:cNvPicPr>
                  </pic:nvPicPr>
                  <pic:blipFill>
                    <a:blip r:embed="rId9" cstate="print"/>
                    <a:srcRect/>
                    <a:stretch>
                      <a:fillRect/>
                    </a:stretch>
                  </pic:blipFill>
                  <pic:spPr bwMode="auto">
                    <a:xfrm flipH="1">
                      <a:off x="0" y="0"/>
                      <a:ext cx="301376" cy="301376"/>
                    </a:xfrm>
                    <a:prstGeom prst="rect">
                      <a:avLst/>
                    </a:prstGeom>
                    <a:noFill/>
                    <a:ln w="9525">
                      <a:noFill/>
                      <a:miter lim="800000"/>
                      <a:headEnd/>
                      <a:tailEnd/>
                    </a:ln>
                  </pic:spPr>
                </pic:pic>
              </a:graphicData>
            </a:graphic>
          </wp:inline>
        </w:drawing>
      </w:r>
      <w:r>
        <w:rPr>
          <w:rFonts w:ascii="Times New Roman" w:hAnsi="Times New Roman" w:cs="Times New Roman"/>
          <w:sz w:val="24"/>
          <w:szCs w:val="24"/>
        </w:rPr>
        <w:t>, signālvārdu „Bīstami” un bīstamības apzīmējumu H318 „</w:t>
      </w:r>
      <w:r w:rsidRPr="00D178BD">
        <w:rPr>
          <w:rFonts w:ascii="Times New Roman" w:hAnsi="Times New Roman" w:cs="Times New Roman"/>
          <w:sz w:val="24"/>
          <w:szCs w:val="24"/>
        </w:rPr>
        <w:t>Izraisa nopietnus acu bojājumus</w:t>
      </w:r>
      <w:r>
        <w:rPr>
          <w:rFonts w:ascii="Times New Roman" w:hAnsi="Times New Roman" w:cs="Times New Roman"/>
          <w:sz w:val="24"/>
          <w:szCs w:val="24"/>
        </w:rPr>
        <w:t>”.</w:t>
      </w:r>
    </w:p>
    <w:p w:rsidR="002B20A1" w:rsidRDefault="002B20A1" w:rsidP="002B20A1">
      <w:pPr>
        <w:jc w:val="both"/>
        <w:rPr>
          <w:rFonts w:ascii="Times New Roman" w:hAnsi="Times New Roman" w:cs="Times New Roman"/>
          <w:sz w:val="24"/>
          <w:szCs w:val="24"/>
        </w:rPr>
      </w:pPr>
      <w:r w:rsidRPr="00786216">
        <w:rPr>
          <w:rFonts w:ascii="Times New Roman" w:hAnsi="Times New Roman" w:cs="Times New Roman"/>
          <w:noProof/>
          <w:sz w:val="24"/>
          <w:szCs w:val="24"/>
          <w:lang w:val="en-US"/>
        </w:rPr>
        <w:lastRenderedPageBreak/>
        <w:drawing>
          <wp:inline distT="0" distB="0" distL="0" distR="0">
            <wp:extent cx="4370070" cy="2162755"/>
            <wp:effectExtent l="19050" t="0" r="11430" b="8945"/>
            <wp:docPr id="2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B20A1" w:rsidRDefault="002B20A1" w:rsidP="00194BED">
      <w:pPr>
        <w:spacing w:after="60" w:line="240" w:lineRule="auto"/>
        <w:rPr>
          <w:rFonts w:ascii="Times New Roman" w:hAnsi="Times New Roman" w:cs="Times New Roman"/>
          <w:sz w:val="24"/>
          <w:szCs w:val="24"/>
        </w:rPr>
      </w:pPr>
      <w:r>
        <w:rPr>
          <w:rFonts w:ascii="Times New Roman" w:hAnsi="Times New Roman" w:cs="Times New Roman"/>
          <w:sz w:val="24"/>
          <w:szCs w:val="24"/>
        </w:rPr>
        <w:t xml:space="preserve">3.attēls. Kontrolēto mazgāšanas līdzekļu sadalījums atbilstoši klasifikācijai. (GHS05 </w:t>
      </w:r>
      <w:r>
        <w:rPr>
          <w:noProof/>
          <w:lang w:val="en-US"/>
        </w:rPr>
        <w:drawing>
          <wp:inline distT="0" distB="0" distL="0" distR="0">
            <wp:extent cx="294198" cy="294198"/>
            <wp:effectExtent l="19050" t="0" r="0" b="0"/>
            <wp:docPr id="22" name="Picture 1" descr="File:GHS-pictogram-acid.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GHS-pictogram-acid.svg"/>
                    <pic:cNvPicPr>
                      <a:picLocks noChangeAspect="1" noChangeArrowheads="1"/>
                    </pic:cNvPicPr>
                  </pic:nvPicPr>
                  <pic:blipFill>
                    <a:blip r:embed="rId9" cstate="print"/>
                    <a:srcRect/>
                    <a:stretch>
                      <a:fillRect/>
                    </a:stretch>
                  </pic:blipFill>
                  <pic:spPr bwMode="auto">
                    <a:xfrm flipH="1">
                      <a:off x="0" y="0"/>
                      <a:ext cx="301376" cy="301376"/>
                    </a:xfrm>
                    <a:prstGeom prst="rect">
                      <a:avLst/>
                    </a:prstGeom>
                    <a:noFill/>
                    <a:ln w="9525">
                      <a:noFill/>
                      <a:miter lim="800000"/>
                      <a:headEnd/>
                      <a:tailEnd/>
                    </a:ln>
                  </pic:spPr>
                </pic:pic>
              </a:graphicData>
            </a:graphic>
          </wp:inline>
        </w:drawing>
      </w:r>
      <w:r>
        <w:rPr>
          <w:rFonts w:ascii="Times New Roman" w:hAnsi="Times New Roman" w:cs="Times New Roman"/>
          <w:sz w:val="24"/>
          <w:szCs w:val="24"/>
        </w:rPr>
        <w:t>, HGS07</w:t>
      </w:r>
      <w:r w:rsidRPr="00357E60">
        <w:rPr>
          <w:rFonts w:ascii="Times New Roman" w:hAnsi="Times New Roman" w:cs="Times New Roman"/>
          <w:noProof/>
          <w:sz w:val="24"/>
          <w:szCs w:val="24"/>
          <w:lang w:val="en-US"/>
        </w:rPr>
        <w:drawing>
          <wp:inline distT="0" distB="0" distL="0" distR="0">
            <wp:extent cx="291051" cy="291051"/>
            <wp:effectExtent l="19050" t="0" r="0" b="0"/>
            <wp:docPr id="23" name="Picture 7" descr="Image result for 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ghs07"/>
                    <pic:cNvPicPr>
                      <a:picLocks noChangeAspect="1" noChangeArrowheads="1"/>
                    </pic:cNvPicPr>
                  </pic:nvPicPr>
                  <pic:blipFill>
                    <a:blip r:embed="rId8" cstate="print"/>
                    <a:srcRect/>
                    <a:stretch>
                      <a:fillRect/>
                    </a:stretch>
                  </pic:blipFill>
                  <pic:spPr bwMode="auto">
                    <a:xfrm>
                      <a:off x="0" y="0"/>
                      <a:ext cx="294346" cy="294346"/>
                    </a:xfrm>
                    <a:prstGeom prst="rect">
                      <a:avLst/>
                    </a:prstGeom>
                    <a:noFill/>
                    <a:ln w="9525">
                      <a:noFill/>
                      <a:miter lim="800000"/>
                      <a:headEnd/>
                      <a:tailEnd/>
                    </a:ln>
                  </pic:spPr>
                </pic:pic>
              </a:graphicData>
            </a:graphic>
          </wp:inline>
        </w:drawing>
      </w:r>
      <w:r>
        <w:rPr>
          <w:rFonts w:ascii="Times New Roman" w:hAnsi="Times New Roman" w:cs="Times New Roman"/>
          <w:sz w:val="24"/>
          <w:szCs w:val="24"/>
        </w:rPr>
        <w:t>).</w:t>
      </w:r>
    </w:p>
    <w:p w:rsidR="008F3427" w:rsidRDefault="000C721F" w:rsidP="00194BED">
      <w:pPr>
        <w:spacing w:after="60" w:line="240" w:lineRule="auto"/>
        <w:ind w:firstLine="567"/>
        <w:jc w:val="both"/>
        <w:rPr>
          <w:rFonts w:ascii="Times New Roman" w:hAnsi="Times New Roman" w:cs="Times New Roman"/>
          <w:sz w:val="24"/>
          <w:szCs w:val="24"/>
        </w:rPr>
      </w:pPr>
      <w:r w:rsidRPr="008F3427">
        <w:rPr>
          <w:rFonts w:ascii="Times New Roman" w:hAnsi="Times New Roman" w:cs="Times New Roman"/>
          <w:sz w:val="24"/>
          <w:szCs w:val="24"/>
        </w:rPr>
        <w:t xml:space="preserve">78 </w:t>
      </w:r>
      <w:r w:rsidR="00E47794">
        <w:rPr>
          <w:rFonts w:ascii="Times New Roman" w:hAnsi="Times New Roman" w:cs="Times New Roman"/>
          <w:sz w:val="24"/>
          <w:szCs w:val="24"/>
        </w:rPr>
        <w:t>(80%) no kontrolētajiem mazgāšanas līdzekļiem bija</w:t>
      </w:r>
      <w:r w:rsidRPr="008F3427">
        <w:rPr>
          <w:rFonts w:ascii="Times New Roman" w:hAnsi="Times New Roman" w:cs="Times New Roman"/>
          <w:sz w:val="24"/>
          <w:szCs w:val="24"/>
        </w:rPr>
        <w:t xml:space="preserve"> klasificēti un marķēti kā </w:t>
      </w:r>
      <w:r w:rsidRPr="0051764C">
        <w:rPr>
          <w:rFonts w:ascii="Times New Roman" w:hAnsi="Times New Roman" w:cs="Times New Roman"/>
          <w:sz w:val="24"/>
          <w:szCs w:val="24"/>
        </w:rPr>
        <w:t>bīstami cilvēka veselībai</w:t>
      </w:r>
      <w:r w:rsidRPr="008F3427">
        <w:rPr>
          <w:rFonts w:ascii="Times New Roman" w:hAnsi="Times New Roman" w:cs="Times New Roman"/>
          <w:sz w:val="24"/>
          <w:szCs w:val="24"/>
        </w:rPr>
        <w:t xml:space="preserve">, </w:t>
      </w:r>
      <w:r w:rsidR="00E47794">
        <w:rPr>
          <w:rFonts w:ascii="Times New Roman" w:hAnsi="Times New Roman" w:cs="Times New Roman"/>
          <w:sz w:val="24"/>
          <w:szCs w:val="24"/>
        </w:rPr>
        <w:t xml:space="preserve">no tiem </w:t>
      </w:r>
      <w:r w:rsidRPr="008F3427">
        <w:rPr>
          <w:rFonts w:ascii="Times New Roman" w:hAnsi="Times New Roman" w:cs="Times New Roman"/>
          <w:sz w:val="24"/>
          <w:szCs w:val="24"/>
        </w:rPr>
        <w:t>tikai p</w:t>
      </w:r>
      <w:r w:rsidR="00D70CFC" w:rsidRPr="008F3427">
        <w:rPr>
          <w:rFonts w:ascii="Times New Roman" w:hAnsi="Times New Roman" w:cs="Times New Roman"/>
          <w:sz w:val="24"/>
          <w:szCs w:val="24"/>
        </w:rPr>
        <w:t>iecu</w:t>
      </w:r>
      <w:r w:rsidRPr="008F3427">
        <w:rPr>
          <w:rFonts w:ascii="Times New Roman" w:hAnsi="Times New Roman" w:cs="Times New Roman"/>
          <w:sz w:val="24"/>
          <w:szCs w:val="24"/>
        </w:rPr>
        <w:t xml:space="preserve"> (6%)</w:t>
      </w:r>
      <w:r w:rsidR="00D70CFC" w:rsidRPr="008F3427">
        <w:rPr>
          <w:rFonts w:ascii="Times New Roman" w:hAnsi="Times New Roman" w:cs="Times New Roman"/>
          <w:sz w:val="24"/>
          <w:szCs w:val="24"/>
        </w:rPr>
        <w:t xml:space="preserve"> produktu marķējumā konstatētas neatbilstības CLP Regulas prasībām</w:t>
      </w:r>
      <w:r w:rsidR="002B045B">
        <w:rPr>
          <w:rFonts w:ascii="Times New Roman" w:hAnsi="Times New Roman" w:cs="Times New Roman"/>
          <w:sz w:val="24"/>
          <w:szCs w:val="24"/>
        </w:rPr>
        <w:t>. V</w:t>
      </w:r>
      <w:r w:rsidR="00D70CFC" w:rsidRPr="008F3427">
        <w:rPr>
          <w:rFonts w:ascii="Times New Roman" w:hAnsi="Times New Roman" w:cs="Times New Roman"/>
          <w:sz w:val="24"/>
          <w:szCs w:val="24"/>
        </w:rPr>
        <w:t xml:space="preserve">ienam </w:t>
      </w:r>
      <w:r w:rsidR="00346B42">
        <w:rPr>
          <w:rFonts w:ascii="Times New Roman" w:hAnsi="Times New Roman" w:cs="Times New Roman"/>
          <w:sz w:val="24"/>
          <w:szCs w:val="24"/>
        </w:rPr>
        <w:t>Francijā ražotam</w:t>
      </w:r>
      <w:r w:rsidR="006676FC">
        <w:rPr>
          <w:rFonts w:ascii="Times New Roman" w:hAnsi="Times New Roman" w:cs="Times New Roman"/>
          <w:sz w:val="24"/>
          <w:szCs w:val="24"/>
        </w:rPr>
        <w:t xml:space="preserve"> </w:t>
      </w:r>
      <w:r w:rsidR="00346B42">
        <w:rPr>
          <w:rFonts w:ascii="Times New Roman" w:hAnsi="Times New Roman" w:cs="Times New Roman"/>
          <w:sz w:val="24"/>
          <w:szCs w:val="24"/>
        </w:rPr>
        <w:t>trauku mazgāšanas līdzeklim</w:t>
      </w:r>
      <w:r w:rsidR="00950396">
        <w:rPr>
          <w:rFonts w:ascii="Times New Roman" w:hAnsi="Times New Roman" w:cs="Times New Roman"/>
          <w:sz w:val="24"/>
          <w:szCs w:val="24"/>
        </w:rPr>
        <w:t xml:space="preserve"> (1</w:t>
      </w:r>
      <w:r w:rsidR="006676FC">
        <w:rPr>
          <w:rFonts w:ascii="Times New Roman" w:hAnsi="Times New Roman" w:cs="Times New Roman"/>
          <w:sz w:val="24"/>
          <w:szCs w:val="24"/>
        </w:rPr>
        <w:t>,3</w:t>
      </w:r>
      <w:r w:rsidR="00950396">
        <w:rPr>
          <w:rFonts w:ascii="Times New Roman" w:hAnsi="Times New Roman" w:cs="Times New Roman"/>
          <w:sz w:val="24"/>
          <w:szCs w:val="24"/>
        </w:rPr>
        <w:t>%)</w:t>
      </w:r>
      <w:r w:rsidR="00D70CFC" w:rsidRPr="008F3427">
        <w:rPr>
          <w:rFonts w:ascii="Times New Roman" w:hAnsi="Times New Roman" w:cs="Times New Roman"/>
          <w:sz w:val="24"/>
          <w:szCs w:val="24"/>
        </w:rPr>
        <w:t xml:space="preserve"> </w:t>
      </w:r>
      <w:r w:rsidR="006676FC">
        <w:rPr>
          <w:rFonts w:ascii="Times New Roman" w:hAnsi="Times New Roman" w:cs="Times New Roman"/>
          <w:sz w:val="24"/>
          <w:szCs w:val="24"/>
        </w:rPr>
        <w:t xml:space="preserve">konstatēta </w:t>
      </w:r>
      <w:r w:rsidR="0051764C">
        <w:rPr>
          <w:rFonts w:ascii="Times New Roman" w:hAnsi="Times New Roman" w:cs="Times New Roman"/>
          <w:sz w:val="24"/>
          <w:szCs w:val="24"/>
        </w:rPr>
        <w:t xml:space="preserve">patērētāju informēšanā </w:t>
      </w:r>
      <w:r w:rsidR="006676FC">
        <w:rPr>
          <w:rFonts w:ascii="Times New Roman" w:hAnsi="Times New Roman" w:cs="Times New Roman"/>
          <w:sz w:val="24"/>
          <w:szCs w:val="24"/>
        </w:rPr>
        <w:t>būtiska neatbilstība prasībām –</w:t>
      </w:r>
      <w:r w:rsidR="003D56E1">
        <w:rPr>
          <w:rFonts w:ascii="Times New Roman" w:hAnsi="Times New Roman" w:cs="Times New Roman"/>
          <w:sz w:val="24"/>
          <w:szCs w:val="24"/>
        </w:rPr>
        <w:t xml:space="preserve"> </w:t>
      </w:r>
      <w:r w:rsidR="00D70CFC" w:rsidRPr="008F3427">
        <w:rPr>
          <w:rFonts w:ascii="Times New Roman" w:hAnsi="Times New Roman" w:cs="Times New Roman"/>
          <w:sz w:val="24"/>
          <w:szCs w:val="24"/>
        </w:rPr>
        <w:t xml:space="preserve">marķējumā </w:t>
      </w:r>
      <w:r w:rsidR="00367189" w:rsidRPr="008F3427">
        <w:rPr>
          <w:rFonts w:ascii="Times New Roman" w:hAnsi="Times New Roman" w:cs="Times New Roman"/>
          <w:sz w:val="24"/>
          <w:szCs w:val="24"/>
        </w:rPr>
        <w:t>latviešu valod</w:t>
      </w:r>
      <w:r w:rsidR="00367189">
        <w:rPr>
          <w:rFonts w:ascii="Times New Roman" w:hAnsi="Times New Roman" w:cs="Times New Roman"/>
          <w:sz w:val="24"/>
          <w:szCs w:val="24"/>
        </w:rPr>
        <w:t>ā</w:t>
      </w:r>
      <w:r w:rsidR="00367189" w:rsidRPr="008F3427">
        <w:rPr>
          <w:rFonts w:ascii="Times New Roman" w:hAnsi="Times New Roman" w:cs="Times New Roman"/>
          <w:sz w:val="24"/>
          <w:szCs w:val="24"/>
        </w:rPr>
        <w:t xml:space="preserve"> </w:t>
      </w:r>
      <w:r w:rsidR="00D70CFC" w:rsidRPr="008F3427">
        <w:rPr>
          <w:rFonts w:ascii="Times New Roman" w:hAnsi="Times New Roman" w:cs="Times New Roman"/>
          <w:sz w:val="24"/>
          <w:szCs w:val="24"/>
        </w:rPr>
        <w:t xml:space="preserve">nebija </w:t>
      </w:r>
      <w:r w:rsidR="00F24BA5">
        <w:rPr>
          <w:rFonts w:ascii="Times New Roman" w:hAnsi="Times New Roman" w:cs="Times New Roman"/>
          <w:sz w:val="24"/>
          <w:szCs w:val="24"/>
        </w:rPr>
        <w:t>tulkota</w:t>
      </w:r>
      <w:r w:rsidR="00F24BA5" w:rsidRPr="008F3427">
        <w:rPr>
          <w:rFonts w:ascii="Times New Roman" w:hAnsi="Times New Roman" w:cs="Times New Roman"/>
          <w:sz w:val="24"/>
          <w:szCs w:val="24"/>
        </w:rPr>
        <w:t xml:space="preserve"> </w:t>
      </w:r>
      <w:r w:rsidR="00D70CFC" w:rsidRPr="008F3427">
        <w:rPr>
          <w:rFonts w:ascii="Times New Roman" w:hAnsi="Times New Roman" w:cs="Times New Roman"/>
          <w:sz w:val="24"/>
          <w:szCs w:val="24"/>
        </w:rPr>
        <w:t xml:space="preserve">informācija par </w:t>
      </w:r>
      <w:r w:rsidR="00950396">
        <w:rPr>
          <w:rFonts w:ascii="Times New Roman" w:hAnsi="Times New Roman" w:cs="Times New Roman"/>
          <w:sz w:val="24"/>
          <w:szCs w:val="24"/>
        </w:rPr>
        <w:t xml:space="preserve">produkta </w:t>
      </w:r>
      <w:r w:rsidR="00D70CFC" w:rsidRPr="008F3427">
        <w:rPr>
          <w:rFonts w:ascii="Times New Roman" w:hAnsi="Times New Roman" w:cs="Times New Roman"/>
          <w:sz w:val="24"/>
          <w:szCs w:val="24"/>
        </w:rPr>
        <w:t xml:space="preserve">bīstamību (signālvārds </w:t>
      </w:r>
      <w:r w:rsidR="00346B42">
        <w:rPr>
          <w:rFonts w:ascii="Times New Roman" w:hAnsi="Times New Roman" w:cs="Times New Roman"/>
          <w:sz w:val="24"/>
          <w:szCs w:val="24"/>
        </w:rPr>
        <w:t xml:space="preserve">„Uzmanību” </w:t>
      </w:r>
      <w:r w:rsidR="00D70CFC" w:rsidRPr="008F3427">
        <w:rPr>
          <w:rFonts w:ascii="Times New Roman" w:hAnsi="Times New Roman" w:cs="Times New Roman"/>
          <w:sz w:val="24"/>
          <w:szCs w:val="24"/>
        </w:rPr>
        <w:t xml:space="preserve">un bīstamības </w:t>
      </w:r>
      <w:r w:rsidR="00357E60">
        <w:rPr>
          <w:rFonts w:ascii="Times New Roman" w:hAnsi="Times New Roman" w:cs="Times New Roman"/>
          <w:sz w:val="24"/>
          <w:szCs w:val="24"/>
        </w:rPr>
        <w:t>apzīmējums</w:t>
      </w:r>
      <w:r w:rsidR="00346B42">
        <w:rPr>
          <w:rFonts w:ascii="Times New Roman" w:hAnsi="Times New Roman" w:cs="Times New Roman"/>
          <w:sz w:val="24"/>
          <w:szCs w:val="24"/>
        </w:rPr>
        <w:t xml:space="preserve"> „H319 Izraisa nopietnu acu kairinājumu”</w:t>
      </w:r>
      <w:r w:rsidR="00D70CFC" w:rsidRPr="008F3427">
        <w:rPr>
          <w:rFonts w:ascii="Times New Roman" w:hAnsi="Times New Roman" w:cs="Times New Roman"/>
          <w:sz w:val="24"/>
          <w:szCs w:val="24"/>
        </w:rPr>
        <w:t>)</w:t>
      </w:r>
      <w:r w:rsidR="00F24BA5">
        <w:rPr>
          <w:rFonts w:ascii="Times New Roman" w:hAnsi="Times New Roman" w:cs="Times New Roman"/>
          <w:sz w:val="24"/>
          <w:szCs w:val="24"/>
        </w:rPr>
        <w:t xml:space="preserve">. Šī mazgāšanas līdzekļa tirdzniecība </w:t>
      </w:r>
      <w:r w:rsidR="00F24BA5" w:rsidRPr="00DF2D2F">
        <w:rPr>
          <w:rFonts w:ascii="Times New Roman" w:hAnsi="Times New Roman" w:cs="Times New Roman"/>
          <w:sz w:val="24"/>
          <w:szCs w:val="24"/>
        </w:rPr>
        <w:t>veikalā</w:t>
      </w:r>
      <w:r w:rsidR="00F24BA5">
        <w:rPr>
          <w:rFonts w:ascii="Times New Roman" w:hAnsi="Times New Roman" w:cs="Times New Roman"/>
          <w:sz w:val="24"/>
          <w:szCs w:val="24"/>
        </w:rPr>
        <w:t xml:space="preserve"> līdz neatbilst</w:t>
      </w:r>
      <w:r w:rsidR="00367189">
        <w:rPr>
          <w:rFonts w:ascii="Times New Roman" w:hAnsi="Times New Roman" w:cs="Times New Roman"/>
          <w:sz w:val="24"/>
          <w:szCs w:val="24"/>
        </w:rPr>
        <w:t>ības novēršanai tika pārtraukta</w:t>
      </w:r>
      <w:r w:rsidR="00F24BA5">
        <w:rPr>
          <w:rFonts w:ascii="Times New Roman" w:hAnsi="Times New Roman" w:cs="Times New Roman"/>
          <w:sz w:val="24"/>
          <w:szCs w:val="24"/>
        </w:rPr>
        <w:t>.</w:t>
      </w:r>
      <w:r w:rsidR="00D70CFC" w:rsidRPr="008F3427">
        <w:rPr>
          <w:rFonts w:ascii="Times New Roman" w:hAnsi="Times New Roman" w:cs="Times New Roman"/>
          <w:sz w:val="24"/>
          <w:szCs w:val="24"/>
        </w:rPr>
        <w:t xml:space="preserve"> </w:t>
      </w:r>
      <w:r w:rsidR="00F24BA5">
        <w:rPr>
          <w:rFonts w:ascii="Times New Roman" w:hAnsi="Times New Roman" w:cs="Times New Roman"/>
          <w:sz w:val="24"/>
          <w:szCs w:val="24"/>
        </w:rPr>
        <w:t xml:space="preserve">Savukārt </w:t>
      </w:r>
      <w:r w:rsidR="00D70CFC" w:rsidRPr="008F3427">
        <w:rPr>
          <w:rFonts w:ascii="Times New Roman" w:hAnsi="Times New Roman" w:cs="Times New Roman"/>
          <w:sz w:val="24"/>
          <w:szCs w:val="24"/>
        </w:rPr>
        <w:t>četriem</w:t>
      </w:r>
      <w:r w:rsidR="006676FC">
        <w:rPr>
          <w:rFonts w:ascii="Times New Roman" w:hAnsi="Times New Roman" w:cs="Times New Roman"/>
          <w:sz w:val="24"/>
          <w:szCs w:val="24"/>
        </w:rPr>
        <w:t xml:space="preserve"> (</w:t>
      </w:r>
      <w:r w:rsidR="009F71B5">
        <w:rPr>
          <w:rFonts w:ascii="Times New Roman" w:hAnsi="Times New Roman" w:cs="Times New Roman"/>
          <w:sz w:val="24"/>
          <w:szCs w:val="24"/>
        </w:rPr>
        <w:t>5,1</w:t>
      </w:r>
      <w:r w:rsidR="006676FC">
        <w:rPr>
          <w:rFonts w:ascii="Times New Roman" w:hAnsi="Times New Roman" w:cs="Times New Roman"/>
          <w:sz w:val="24"/>
          <w:szCs w:val="24"/>
        </w:rPr>
        <w:t>%)</w:t>
      </w:r>
      <w:r w:rsidR="00D70CFC" w:rsidRPr="008F3427">
        <w:rPr>
          <w:rFonts w:ascii="Times New Roman" w:hAnsi="Times New Roman" w:cs="Times New Roman"/>
          <w:sz w:val="24"/>
          <w:szCs w:val="24"/>
        </w:rPr>
        <w:t xml:space="preserve"> </w:t>
      </w:r>
      <w:r w:rsidR="00F24BA5">
        <w:rPr>
          <w:rFonts w:ascii="Times New Roman" w:hAnsi="Times New Roman" w:cs="Times New Roman"/>
          <w:sz w:val="24"/>
          <w:szCs w:val="24"/>
        </w:rPr>
        <w:t xml:space="preserve">mazgāšanas līdzekļiem </w:t>
      </w:r>
      <w:r w:rsidR="00D70CFC" w:rsidRPr="008F3427">
        <w:rPr>
          <w:rFonts w:ascii="Times New Roman" w:hAnsi="Times New Roman" w:cs="Times New Roman"/>
          <w:sz w:val="24"/>
          <w:szCs w:val="24"/>
        </w:rPr>
        <w:t xml:space="preserve">informācija </w:t>
      </w:r>
      <w:r w:rsidR="00F24BA5">
        <w:rPr>
          <w:rFonts w:ascii="Times New Roman" w:hAnsi="Times New Roman" w:cs="Times New Roman"/>
          <w:sz w:val="24"/>
          <w:szCs w:val="24"/>
        </w:rPr>
        <w:t xml:space="preserve">par bīstamību </w:t>
      </w:r>
      <w:r w:rsidR="002B045B">
        <w:rPr>
          <w:rFonts w:ascii="Times New Roman" w:hAnsi="Times New Roman" w:cs="Times New Roman"/>
          <w:sz w:val="24"/>
          <w:szCs w:val="24"/>
        </w:rPr>
        <w:t xml:space="preserve">latviešu valodā </w:t>
      </w:r>
      <w:r w:rsidR="00D70CFC" w:rsidRPr="008F3427">
        <w:rPr>
          <w:rFonts w:ascii="Times New Roman" w:hAnsi="Times New Roman" w:cs="Times New Roman"/>
          <w:sz w:val="24"/>
          <w:szCs w:val="24"/>
        </w:rPr>
        <w:t xml:space="preserve">bija norādīta nekorekti, tas nozīmē, </w:t>
      </w:r>
      <w:r w:rsidR="00E47794">
        <w:rPr>
          <w:rFonts w:ascii="Times New Roman" w:hAnsi="Times New Roman" w:cs="Times New Roman"/>
          <w:sz w:val="24"/>
          <w:szCs w:val="24"/>
        </w:rPr>
        <w:t>ka nebija</w:t>
      </w:r>
      <w:r w:rsidR="00D70CFC" w:rsidRPr="008F3427">
        <w:rPr>
          <w:rFonts w:ascii="Times New Roman" w:hAnsi="Times New Roman" w:cs="Times New Roman"/>
          <w:sz w:val="24"/>
          <w:szCs w:val="24"/>
        </w:rPr>
        <w:t xml:space="preserve"> </w:t>
      </w:r>
      <w:r w:rsidR="00F24BA5" w:rsidRPr="008F3427">
        <w:rPr>
          <w:rFonts w:ascii="Times New Roman" w:hAnsi="Times New Roman" w:cs="Times New Roman"/>
          <w:sz w:val="24"/>
          <w:szCs w:val="24"/>
        </w:rPr>
        <w:t>izmanto</w:t>
      </w:r>
      <w:r w:rsidR="00F24BA5">
        <w:rPr>
          <w:rFonts w:ascii="Times New Roman" w:hAnsi="Times New Roman" w:cs="Times New Roman"/>
          <w:sz w:val="24"/>
          <w:szCs w:val="24"/>
        </w:rPr>
        <w:t xml:space="preserve">ti </w:t>
      </w:r>
      <w:r w:rsidR="002B045B">
        <w:rPr>
          <w:rFonts w:ascii="Times New Roman" w:hAnsi="Times New Roman" w:cs="Times New Roman"/>
          <w:sz w:val="24"/>
          <w:szCs w:val="24"/>
        </w:rPr>
        <w:t>CLP R</w:t>
      </w:r>
      <w:r w:rsidR="00E47794">
        <w:rPr>
          <w:rFonts w:ascii="Times New Roman" w:hAnsi="Times New Roman" w:cs="Times New Roman"/>
          <w:sz w:val="24"/>
          <w:szCs w:val="24"/>
        </w:rPr>
        <w:t>egulā dot</w:t>
      </w:r>
      <w:r w:rsidR="00F24BA5">
        <w:rPr>
          <w:rFonts w:ascii="Times New Roman" w:hAnsi="Times New Roman" w:cs="Times New Roman"/>
          <w:sz w:val="24"/>
          <w:szCs w:val="24"/>
        </w:rPr>
        <w:t>ie</w:t>
      </w:r>
      <w:r w:rsidR="00D70CFC" w:rsidRPr="008F3427">
        <w:rPr>
          <w:rFonts w:ascii="Times New Roman" w:hAnsi="Times New Roman" w:cs="Times New Roman"/>
          <w:sz w:val="24"/>
          <w:szCs w:val="24"/>
        </w:rPr>
        <w:t xml:space="preserve"> formulējum</w:t>
      </w:r>
      <w:r w:rsidR="00F24BA5">
        <w:rPr>
          <w:rFonts w:ascii="Times New Roman" w:hAnsi="Times New Roman" w:cs="Times New Roman"/>
          <w:sz w:val="24"/>
          <w:szCs w:val="24"/>
        </w:rPr>
        <w:t>i</w:t>
      </w:r>
      <w:r w:rsidR="00D70CFC" w:rsidRPr="008F3427">
        <w:rPr>
          <w:rFonts w:ascii="Times New Roman" w:hAnsi="Times New Roman" w:cs="Times New Roman"/>
          <w:sz w:val="24"/>
          <w:szCs w:val="24"/>
        </w:rPr>
        <w:t>.</w:t>
      </w:r>
    </w:p>
    <w:p w:rsidR="0042343E" w:rsidRPr="002B20A1" w:rsidRDefault="000C5010">
      <w:pPr>
        <w:rPr>
          <w:rFonts w:ascii="Times New Roman" w:hAnsi="Times New Roman" w:cs="Times New Roman"/>
          <w:sz w:val="24"/>
          <w:szCs w:val="24"/>
        </w:rPr>
      </w:pPr>
      <w:r w:rsidRPr="002B20A1">
        <w:rPr>
          <w:rFonts w:ascii="Times New Roman" w:hAnsi="Times New Roman" w:cs="Times New Roman"/>
          <w:noProof/>
          <w:sz w:val="24"/>
          <w:szCs w:val="24"/>
          <w:lang w:val="en-US"/>
        </w:rPr>
        <w:drawing>
          <wp:inline distT="0" distB="0" distL="0" distR="0">
            <wp:extent cx="4575810" cy="2038350"/>
            <wp:effectExtent l="19050" t="0" r="1524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2343E" w:rsidRDefault="002B20A1" w:rsidP="00194BED">
      <w:pPr>
        <w:spacing w:after="60" w:line="240" w:lineRule="auto"/>
        <w:rPr>
          <w:rFonts w:ascii="Times New Roman" w:hAnsi="Times New Roman" w:cs="Times New Roman"/>
          <w:sz w:val="24"/>
          <w:szCs w:val="24"/>
        </w:rPr>
      </w:pPr>
      <w:r>
        <w:rPr>
          <w:rFonts w:ascii="Times New Roman" w:hAnsi="Times New Roman" w:cs="Times New Roman"/>
          <w:sz w:val="24"/>
          <w:szCs w:val="24"/>
        </w:rPr>
        <w:t>4</w:t>
      </w:r>
      <w:r w:rsidR="0042343E">
        <w:rPr>
          <w:rFonts w:ascii="Times New Roman" w:hAnsi="Times New Roman" w:cs="Times New Roman"/>
          <w:sz w:val="24"/>
          <w:szCs w:val="24"/>
        </w:rPr>
        <w:t>.attēls</w:t>
      </w:r>
      <w:r w:rsidR="00816CB7">
        <w:rPr>
          <w:rFonts w:ascii="Times New Roman" w:hAnsi="Times New Roman" w:cs="Times New Roman"/>
          <w:sz w:val="24"/>
          <w:szCs w:val="24"/>
        </w:rPr>
        <w:t>.</w:t>
      </w:r>
      <w:r w:rsidR="0042343E">
        <w:rPr>
          <w:rFonts w:ascii="Times New Roman" w:hAnsi="Times New Roman" w:cs="Times New Roman"/>
          <w:sz w:val="24"/>
          <w:szCs w:val="24"/>
        </w:rPr>
        <w:t xml:space="preserve"> Kontrolēto </w:t>
      </w:r>
      <w:r w:rsidR="00543394">
        <w:rPr>
          <w:rFonts w:ascii="Times New Roman" w:hAnsi="Times New Roman" w:cs="Times New Roman"/>
          <w:sz w:val="24"/>
          <w:szCs w:val="24"/>
        </w:rPr>
        <w:t xml:space="preserve">trauku </w:t>
      </w:r>
      <w:r w:rsidR="0042343E">
        <w:rPr>
          <w:rFonts w:ascii="Times New Roman" w:hAnsi="Times New Roman" w:cs="Times New Roman"/>
          <w:sz w:val="24"/>
          <w:szCs w:val="24"/>
        </w:rPr>
        <w:t xml:space="preserve">mazgāšanas līdzekļu </w:t>
      </w:r>
      <w:r w:rsidR="004A085F">
        <w:rPr>
          <w:rFonts w:ascii="Times New Roman" w:hAnsi="Times New Roman" w:cs="Times New Roman"/>
          <w:sz w:val="24"/>
          <w:szCs w:val="24"/>
        </w:rPr>
        <w:t>skaits ar noteiktu bīstamību</w:t>
      </w:r>
      <w:r w:rsidR="0042343E">
        <w:rPr>
          <w:rFonts w:ascii="Times New Roman" w:hAnsi="Times New Roman" w:cs="Times New Roman"/>
          <w:sz w:val="24"/>
          <w:szCs w:val="24"/>
        </w:rPr>
        <w:t>.</w:t>
      </w:r>
    </w:p>
    <w:p w:rsidR="005079A2" w:rsidRPr="00BD28FC" w:rsidRDefault="005079A2" w:rsidP="00194BED">
      <w:pPr>
        <w:spacing w:after="60" w:line="240" w:lineRule="auto"/>
        <w:ind w:firstLine="567"/>
        <w:jc w:val="both"/>
        <w:rPr>
          <w:rFonts w:ascii="Times New Roman" w:hAnsi="Times New Roman" w:cs="Times New Roman"/>
          <w:sz w:val="24"/>
          <w:szCs w:val="24"/>
        </w:rPr>
      </w:pPr>
      <w:r w:rsidRPr="00DF2D2F">
        <w:rPr>
          <w:rFonts w:ascii="Times New Roman" w:hAnsi="Times New Roman" w:cs="Times New Roman"/>
          <w:sz w:val="24"/>
          <w:szCs w:val="24"/>
        </w:rPr>
        <w:t>Nevien</w:t>
      </w:r>
      <w:r w:rsidR="00DF7634">
        <w:rPr>
          <w:rFonts w:ascii="Times New Roman" w:hAnsi="Times New Roman" w:cs="Times New Roman"/>
          <w:sz w:val="24"/>
          <w:szCs w:val="24"/>
        </w:rPr>
        <w:t>s</w:t>
      </w:r>
      <w:r w:rsidRPr="00DF2D2F">
        <w:rPr>
          <w:rFonts w:ascii="Times New Roman" w:hAnsi="Times New Roman" w:cs="Times New Roman"/>
          <w:sz w:val="24"/>
          <w:szCs w:val="24"/>
        </w:rPr>
        <w:t xml:space="preserve"> no kontrolētajiem mazgāšanas līdzekļiem </w:t>
      </w:r>
      <w:r w:rsidR="00A5187B">
        <w:rPr>
          <w:rFonts w:ascii="Times New Roman" w:hAnsi="Times New Roman" w:cs="Times New Roman"/>
          <w:sz w:val="24"/>
          <w:szCs w:val="24"/>
        </w:rPr>
        <w:t>nebija klasificēts tik nopi</w:t>
      </w:r>
      <w:r w:rsidR="00405FF8">
        <w:rPr>
          <w:rFonts w:ascii="Times New Roman" w:hAnsi="Times New Roman" w:cs="Times New Roman"/>
          <w:sz w:val="24"/>
          <w:szCs w:val="24"/>
        </w:rPr>
        <w:t>etnā bīstamības kategorijā, kuras</w:t>
      </w:r>
      <w:r w:rsidR="00A5187B">
        <w:rPr>
          <w:rFonts w:ascii="Times New Roman" w:hAnsi="Times New Roman" w:cs="Times New Roman"/>
          <w:sz w:val="24"/>
          <w:szCs w:val="24"/>
        </w:rPr>
        <w:t xml:space="preserve"> dēļ tam būtu nepieciešams īpašs iepakojums ar </w:t>
      </w:r>
      <w:r w:rsidR="00DF7634">
        <w:rPr>
          <w:rFonts w:ascii="Times New Roman" w:hAnsi="Times New Roman" w:cs="Times New Roman"/>
          <w:sz w:val="24"/>
          <w:szCs w:val="24"/>
        </w:rPr>
        <w:t xml:space="preserve">bērniem nepieejamu </w:t>
      </w:r>
      <w:r w:rsidR="00A5187B">
        <w:rPr>
          <w:rFonts w:ascii="Times New Roman" w:hAnsi="Times New Roman" w:cs="Times New Roman"/>
          <w:sz w:val="24"/>
          <w:szCs w:val="24"/>
        </w:rPr>
        <w:t>aizdari vai taustām</w:t>
      </w:r>
      <w:r w:rsidR="00DF7634">
        <w:rPr>
          <w:rFonts w:ascii="Times New Roman" w:hAnsi="Times New Roman" w:cs="Times New Roman"/>
          <w:sz w:val="24"/>
          <w:szCs w:val="24"/>
        </w:rPr>
        <w:t>o</w:t>
      </w:r>
      <w:r w:rsidR="00A5187B">
        <w:rPr>
          <w:rFonts w:ascii="Times New Roman" w:hAnsi="Times New Roman" w:cs="Times New Roman"/>
          <w:sz w:val="24"/>
          <w:szCs w:val="24"/>
        </w:rPr>
        <w:t xml:space="preserve"> brīdinājum</w:t>
      </w:r>
      <w:r w:rsidR="00DF7634">
        <w:rPr>
          <w:rFonts w:ascii="Times New Roman" w:hAnsi="Times New Roman" w:cs="Times New Roman"/>
          <w:sz w:val="24"/>
          <w:szCs w:val="24"/>
        </w:rPr>
        <w:t>u</w:t>
      </w:r>
      <w:r w:rsidR="00A5187B">
        <w:rPr>
          <w:rFonts w:ascii="Times New Roman" w:hAnsi="Times New Roman" w:cs="Times New Roman"/>
          <w:sz w:val="24"/>
          <w:szCs w:val="24"/>
        </w:rPr>
        <w:t xml:space="preserve">, līdz ar to neatbilstības iepakojumam </w:t>
      </w:r>
      <w:r w:rsidRPr="00DF2D2F">
        <w:rPr>
          <w:rFonts w:ascii="Times New Roman" w:hAnsi="Times New Roman" w:cs="Times New Roman"/>
          <w:sz w:val="24"/>
          <w:szCs w:val="24"/>
        </w:rPr>
        <w:t>netika konstatēt</w:t>
      </w:r>
      <w:r w:rsidR="00A5187B">
        <w:rPr>
          <w:rFonts w:ascii="Times New Roman" w:hAnsi="Times New Roman" w:cs="Times New Roman"/>
          <w:sz w:val="24"/>
          <w:szCs w:val="24"/>
        </w:rPr>
        <w:t>as.</w:t>
      </w:r>
    </w:p>
    <w:p w:rsidR="00281487" w:rsidRPr="00281487" w:rsidRDefault="00281487" w:rsidP="00283C86">
      <w:pPr>
        <w:spacing w:after="120"/>
        <w:jc w:val="both"/>
        <w:rPr>
          <w:rFonts w:ascii="Times New Roman" w:hAnsi="Times New Roman" w:cs="Times New Roman"/>
          <w:b/>
          <w:sz w:val="24"/>
          <w:szCs w:val="24"/>
        </w:rPr>
      </w:pPr>
      <w:r w:rsidRPr="00281487">
        <w:rPr>
          <w:rFonts w:ascii="Times New Roman" w:hAnsi="Times New Roman" w:cs="Times New Roman"/>
          <w:b/>
          <w:sz w:val="24"/>
          <w:szCs w:val="24"/>
        </w:rPr>
        <w:t>Kontrolēto mazgāšanas līdzekļu atbilstība Regulas Nr.</w:t>
      </w:r>
      <w:r w:rsidR="00F21C14">
        <w:rPr>
          <w:rFonts w:ascii="Times New Roman" w:hAnsi="Times New Roman" w:cs="Times New Roman"/>
          <w:b/>
          <w:sz w:val="24"/>
          <w:szCs w:val="24"/>
        </w:rPr>
        <w:t> </w:t>
      </w:r>
      <w:r w:rsidRPr="00281487">
        <w:rPr>
          <w:rFonts w:ascii="Times New Roman" w:hAnsi="Times New Roman" w:cs="Times New Roman"/>
          <w:b/>
          <w:sz w:val="24"/>
          <w:szCs w:val="24"/>
        </w:rPr>
        <w:t>648/2004 par mazgāšanas līdzekļiem prasībām</w:t>
      </w:r>
    </w:p>
    <w:p w:rsidR="007E71C8" w:rsidRDefault="005A6A73" w:rsidP="007B3997">
      <w:pPr>
        <w:spacing w:after="60" w:line="240" w:lineRule="auto"/>
        <w:ind w:firstLine="567"/>
        <w:jc w:val="both"/>
        <w:rPr>
          <w:rFonts w:ascii="Times New Roman" w:hAnsi="Times New Roman" w:cs="Times New Roman"/>
          <w:sz w:val="24"/>
          <w:szCs w:val="24"/>
        </w:rPr>
      </w:pPr>
      <w:r>
        <w:rPr>
          <w:rFonts w:ascii="Times New Roman" w:hAnsi="Times New Roman" w:cs="Times New Roman"/>
          <w:sz w:val="24"/>
          <w:szCs w:val="24"/>
        </w:rPr>
        <w:t>Veicot kontroles mazumtirdzniecības veikalos, n</w:t>
      </w:r>
      <w:r w:rsidR="00B114B0">
        <w:rPr>
          <w:rFonts w:ascii="Times New Roman" w:hAnsi="Times New Roman" w:cs="Times New Roman"/>
          <w:sz w:val="24"/>
          <w:szCs w:val="24"/>
        </w:rPr>
        <w:t xml:space="preserve">o Regulas </w:t>
      </w:r>
      <w:r w:rsidR="00B114B0" w:rsidRPr="004E6B5D">
        <w:rPr>
          <w:rFonts w:ascii="Times New Roman" w:hAnsi="Times New Roman" w:cs="Times New Roman"/>
          <w:sz w:val="24"/>
          <w:szCs w:val="24"/>
        </w:rPr>
        <w:t>Nr.648/2004 par mazgāšanas līdzekļiem</w:t>
      </w:r>
      <w:r w:rsidR="00B114B0" w:rsidRPr="008F3427">
        <w:rPr>
          <w:rFonts w:ascii="Times New Roman" w:hAnsi="Times New Roman" w:cs="Times New Roman"/>
          <w:sz w:val="24"/>
          <w:szCs w:val="24"/>
        </w:rPr>
        <w:t xml:space="preserve"> prasībām</w:t>
      </w:r>
      <w:r w:rsidR="00B114B0">
        <w:rPr>
          <w:rFonts w:ascii="Times New Roman" w:hAnsi="Times New Roman" w:cs="Times New Roman"/>
          <w:sz w:val="24"/>
          <w:szCs w:val="24"/>
        </w:rPr>
        <w:t xml:space="preserve"> tiek kontrolētas tikai prasības marķējumam</w:t>
      </w:r>
      <w:r w:rsidR="00283C86">
        <w:rPr>
          <w:rFonts w:ascii="Times New Roman" w:hAnsi="Times New Roman" w:cs="Times New Roman"/>
          <w:sz w:val="24"/>
          <w:szCs w:val="24"/>
        </w:rPr>
        <w:t xml:space="preserve"> </w:t>
      </w:r>
      <w:r>
        <w:rPr>
          <w:rFonts w:ascii="Times New Roman" w:hAnsi="Times New Roman" w:cs="Times New Roman"/>
          <w:sz w:val="24"/>
          <w:szCs w:val="24"/>
        </w:rPr>
        <w:t xml:space="preserve">– </w:t>
      </w:r>
      <w:r w:rsidR="00283C86">
        <w:rPr>
          <w:rFonts w:ascii="Times New Roman" w:hAnsi="Times New Roman" w:cs="Times New Roman"/>
          <w:sz w:val="24"/>
          <w:szCs w:val="24"/>
        </w:rPr>
        <w:t xml:space="preserve">vai patērētājam ir sniegta pilnīga informācija par mazgāšanas līdzekļa sastāvu, atbildīgo personu </w:t>
      </w:r>
      <w:r w:rsidR="00283C86">
        <w:rPr>
          <w:rFonts w:ascii="Times New Roman" w:hAnsi="Times New Roman" w:cs="Times New Roman"/>
          <w:sz w:val="24"/>
          <w:szCs w:val="24"/>
        </w:rPr>
        <w:lastRenderedPageBreak/>
        <w:t>par produkta laišanu tirgū, lietošanas noteikumiem un brīdinājumiem, kad nepieciešams</w:t>
      </w:r>
      <w:r w:rsidR="00B114B0">
        <w:rPr>
          <w:rFonts w:ascii="Times New Roman" w:hAnsi="Times New Roman" w:cs="Times New Roman"/>
          <w:sz w:val="24"/>
          <w:szCs w:val="24"/>
        </w:rPr>
        <w:t xml:space="preserve">. </w:t>
      </w:r>
      <w:r w:rsidR="00F67EDE">
        <w:rPr>
          <w:rFonts w:ascii="Times New Roman" w:hAnsi="Times New Roman" w:cs="Times New Roman"/>
          <w:sz w:val="24"/>
          <w:szCs w:val="24"/>
        </w:rPr>
        <w:t>Veikalos nekontrolē dokumentāciju un citu pienākumu izpildi, par ko atbildīgs ir vairumtirdzniecības uzņēmums.</w:t>
      </w:r>
      <w:r w:rsidR="00B114B0" w:rsidRPr="008F3427">
        <w:rPr>
          <w:rFonts w:ascii="Times New Roman" w:hAnsi="Times New Roman" w:cs="Times New Roman"/>
          <w:sz w:val="24"/>
          <w:szCs w:val="24"/>
        </w:rPr>
        <w:t xml:space="preserve"> </w:t>
      </w:r>
      <w:r>
        <w:rPr>
          <w:rFonts w:ascii="Times New Roman" w:hAnsi="Times New Roman" w:cs="Times New Roman"/>
          <w:sz w:val="24"/>
          <w:szCs w:val="24"/>
        </w:rPr>
        <w:t>No pārbaudītajiem 98 mazgāšanas līdzekļiem</w:t>
      </w:r>
      <w:r w:rsidRPr="008F3427">
        <w:rPr>
          <w:rFonts w:ascii="Times New Roman" w:hAnsi="Times New Roman" w:cs="Times New Roman"/>
          <w:sz w:val="24"/>
          <w:szCs w:val="24"/>
        </w:rPr>
        <w:t xml:space="preserve"> </w:t>
      </w:r>
      <w:r>
        <w:rPr>
          <w:rFonts w:ascii="Times New Roman" w:hAnsi="Times New Roman" w:cs="Times New Roman"/>
          <w:sz w:val="24"/>
          <w:szCs w:val="24"/>
        </w:rPr>
        <w:t xml:space="preserve">tikai 19 (19%) produktu </w:t>
      </w:r>
      <w:r w:rsidRPr="008F3427">
        <w:rPr>
          <w:rFonts w:ascii="Times New Roman" w:hAnsi="Times New Roman" w:cs="Times New Roman"/>
          <w:sz w:val="24"/>
          <w:szCs w:val="24"/>
        </w:rPr>
        <w:t>marķējumā</w:t>
      </w:r>
      <w:r>
        <w:rPr>
          <w:rFonts w:ascii="Times New Roman" w:hAnsi="Times New Roman" w:cs="Times New Roman"/>
          <w:sz w:val="24"/>
          <w:szCs w:val="24"/>
        </w:rPr>
        <w:t xml:space="preserve"> latviešu valodā</w:t>
      </w:r>
      <w:r w:rsidRPr="008F3427">
        <w:rPr>
          <w:rFonts w:ascii="Times New Roman" w:hAnsi="Times New Roman" w:cs="Times New Roman"/>
          <w:sz w:val="24"/>
          <w:szCs w:val="24"/>
        </w:rPr>
        <w:t xml:space="preserve"> </w:t>
      </w:r>
      <w:r>
        <w:rPr>
          <w:rFonts w:ascii="Times New Roman" w:hAnsi="Times New Roman" w:cs="Times New Roman"/>
          <w:sz w:val="24"/>
          <w:szCs w:val="24"/>
        </w:rPr>
        <w:t>konstatētas n</w:t>
      </w:r>
      <w:r w:rsidR="00482D2F" w:rsidRPr="008F3427">
        <w:rPr>
          <w:rFonts w:ascii="Times New Roman" w:hAnsi="Times New Roman" w:cs="Times New Roman"/>
          <w:sz w:val="24"/>
          <w:szCs w:val="24"/>
        </w:rPr>
        <w:t xml:space="preserve">eatbilstības </w:t>
      </w:r>
      <w:r w:rsidR="004E6B5D" w:rsidRPr="004E6B5D">
        <w:rPr>
          <w:rFonts w:ascii="Times New Roman" w:hAnsi="Times New Roman" w:cs="Times New Roman"/>
          <w:sz w:val="24"/>
          <w:szCs w:val="24"/>
        </w:rPr>
        <w:t>Regula</w:t>
      </w:r>
      <w:r w:rsidR="004E6B5D">
        <w:rPr>
          <w:rFonts w:ascii="Times New Roman" w:hAnsi="Times New Roman" w:cs="Times New Roman"/>
          <w:sz w:val="24"/>
          <w:szCs w:val="24"/>
        </w:rPr>
        <w:t>s</w:t>
      </w:r>
      <w:r w:rsidR="004E6B5D" w:rsidRPr="004E6B5D">
        <w:rPr>
          <w:rFonts w:ascii="Times New Roman" w:hAnsi="Times New Roman" w:cs="Times New Roman"/>
          <w:sz w:val="24"/>
          <w:szCs w:val="24"/>
        </w:rPr>
        <w:t xml:space="preserve"> Nr.648/2004 par mazgāšanas līdzekļiem</w:t>
      </w:r>
      <w:r w:rsidR="004E6B5D" w:rsidRPr="008F3427">
        <w:rPr>
          <w:rFonts w:ascii="Times New Roman" w:hAnsi="Times New Roman" w:cs="Times New Roman"/>
          <w:sz w:val="24"/>
          <w:szCs w:val="24"/>
        </w:rPr>
        <w:t xml:space="preserve"> </w:t>
      </w:r>
      <w:r w:rsidR="00482D2F" w:rsidRPr="008F3427">
        <w:rPr>
          <w:rFonts w:ascii="Times New Roman" w:hAnsi="Times New Roman" w:cs="Times New Roman"/>
          <w:sz w:val="24"/>
          <w:szCs w:val="24"/>
        </w:rPr>
        <w:t>prasībām</w:t>
      </w:r>
      <w:r>
        <w:rPr>
          <w:rFonts w:ascii="Times New Roman" w:hAnsi="Times New Roman" w:cs="Times New Roman"/>
          <w:sz w:val="24"/>
          <w:szCs w:val="24"/>
        </w:rPr>
        <w:t xml:space="preserve"> </w:t>
      </w:r>
      <w:r w:rsidR="00482D2F" w:rsidRPr="008F3427">
        <w:rPr>
          <w:rFonts w:ascii="Times New Roman" w:hAnsi="Times New Roman" w:cs="Times New Roman"/>
          <w:sz w:val="24"/>
          <w:szCs w:val="24"/>
        </w:rPr>
        <w:t xml:space="preserve">– nebija </w:t>
      </w:r>
      <w:r>
        <w:rPr>
          <w:rFonts w:ascii="Times New Roman" w:hAnsi="Times New Roman" w:cs="Times New Roman"/>
          <w:sz w:val="24"/>
          <w:szCs w:val="24"/>
        </w:rPr>
        <w:t xml:space="preserve">latviešu valodā </w:t>
      </w:r>
      <w:r w:rsidR="00482D2F" w:rsidRPr="008F3427">
        <w:rPr>
          <w:rFonts w:ascii="Times New Roman" w:hAnsi="Times New Roman" w:cs="Times New Roman"/>
          <w:sz w:val="24"/>
          <w:szCs w:val="24"/>
        </w:rPr>
        <w:t>norādīta pilnīga vai korekta informācija par līdzekļa sastāvdaļām</w:t>
      </w:r>
      <w:r w:rsidR="00DB4FF6" w:rsidRPr="008F3427">
        <w:rPr>
          <w:rFonts w:ascii="Times New Roman" w:hAnsi="Times New Roman" w:cs="Times New Roman"/>
          <w:sz w:val="24"/>
          <w:szCs w:val="24"/>
        </w:rPr>
        <w:t xml:space="preserve"> </w:t>
      </w:r>
      <w:r w:rsidR="00DB4FF6" w:rsidRPr="00DF2D2F">
        <w:rPr>
          <w:rFonts w:ascii="Times New Roman" w:hAnsi="Times New Roman" w:cs="Times New Roman"/>
          <w:sz w:val="24"/>
          <w:szCs w:val="24"/>
        </w:rPr>
        <w:t>(virsmaktīvajām vielām, konservantiem, alerģiju izraisošajām smaržvielām</w:t>
      </w:r>
      <w:r w:rsidR="00DF62B7">
        <w:rPr>
          <w:rFonts w:ascii="Times New Roman" w:hAnsi="Times New Roman" w:cs="Times New Roman"/>
          <w:sz w:val="24"/>
          <w:szCs w:val="24"/>
        </w:rPr>
        <w:t>, 2.tabula</w:t>
      </w:r>
      <w:r w:rsidR="00DB4FF6" w:rsidRPr="00DF2D2F">
        <w:rPr>
          <w:rFonts w:ascii="Times New Roman" w:hAnsi="Times New Roman" w:cs="Times New Roman"/>
          <w:sz w:val="24"/>
          <w:szCs w:val="24"/>
        </w:rPr>
        <w:t>)</w:t>
      </w:r>
      <w:r w:rsidR="00482D2F" w:rsidRPr="00DF2D2F">
        <w:rPr>
          <w:rFonts w:ascii="Times New Roman" w:hAnsi="Times New Roman" w:cs="Times New Roman"/>
          <w:sz w:val="24"/>
          <w:szCs w:val="24"/>
        </w:rPr>
        <w:t>.</w:t>
      </w:r>
    </w:p>
    <w:tbl>
      <w:tblPr>
        <w:tblW w:w="7665" w:type="dxa"/>
        <w:tblInd w:w="98" w:type="dxa"/>
        <w:tblLook w:val="04A0"/>
      </w:tblPr>
      <w:tblGrid>
        <w:gridCol w:w="5113"/>
        <w:gridCol w:w="2552"/>
      </w:tblGrid>
      <w:tr w:rsidR="00F350F7" w:rsidRPr="00026D29" w:rsidTr="003D56E1">
        <w:trPr>
          <w:trHeight w:val="476"/>
        </w:trPr>
        <w:tc>
          <w:tcPr>
            <w:tcW w:w="5113" w:type="dxa"/>
            <w:tcBorders>
              <w:top w:val="single" w:sz="8" w:space="0" w:color="auto"/>
              <w:left w:val="single" w:sz="8" w:space="0" w:color="auto"/>
              <w:bottom w:val="single" w:sz="4" w:space="0" w:color="auto"/>
              <w:right w:val="single" w:sz="4" w:space="0" w:color="auto"/>
            </w:tcBorders>
            <w:shd w:val="clear" w:color="auto" w:fill="FDE9D9" w:themeFill="accent6" w:themeFillTint="33"/>
            <w:vAlign w:val="center"/>
            <w:hideMark/>
          </w:tcPr>
          <w:p w:rsidR="00F350F7" w:rsidRPr="00026D29" w:rsidRDefault="00F350F7" w:rsidP="00A66FDC">
            <w:pPr>
              <w:spacing w:after="0" w:line="240" w:lineRule="auto"/>
              <w:jc w:val="center"/>
              <w:rPr>
                <w:rFonts w:ascii="Times New Roman" w:eastAsia="Times New Roman" w:hAnsi="Times New Roman" w:cs="Times New Roman"/>
                <w:b/>
                <w:lang w:eastAsia="lv-LV"/>
              </w:rPr>
            </w:pPr>
            <w:r w:rsidRPr="00026D29">
              <w:rPr>
                <w:rFonts w:ascii="Times New Roman" w:eastAsia="Times New Roman" w:hAnsi="Times New Roman" w:cs="Times New Roman"/>
                <w:b/>
                <w:lang w:eastAsia="lv-LV"/>
              </w:rPr>
              <w:t>Marķējumā konstatētā neatbilstība</w:t>
            </w:r>
          </w:p>
        </w:tc>
        <w:tc>
          <w:tcPr>
            <w:tcW w:w="2552" w:type="dxa"/>
            <w:tcBorders>
              <w:top w:val="single" w:sz="8" w:space="0" w:color="auto"/>
              <w:left w:val="nil"/>
              <w:bottom w:val="single" w:sz="4" w:space="0" w:color="auto"/>
              <w:right w:val="single" w:sz="8" w:space="0" w:color="auto"/>
            </w:tcBorders>
            <w:shd w:val="clear" w:color="auto" w:fill="FDE9D9" w:themeFill="accent6" w:themeFillTint="33"/>
            <w:noWrap/>
            <w:vAlign w:val="center"/>
            <w:hideMark/>
          </w:tcPr>
          <w:p w:rsidR="00F350F7" w:rsidRPr="00026D29" w:rsidRDefault="00F350F7" w:rsidP="00A66FDC">
            <w:pPr>
              <w:spacing w:after="0" w:line="240" w:lineRule="auto"/>
              <w:jc w:val="center"/>
              <w:rPr>
                <w:rFonts w:ascii="Times New Roman" w:eastAsia="Times New Roman" w:hAnsi="Times New Roman" w:cs="Times New Roman"/>
                <w:b/>
                <w:lang w:eastAsia="lv-LV"/>
              </w:rPr>
            </w:pPr>
            <w:r w:rsidRPr="00026D29">
              <w:rPr>
                <w:rFonts w:ascii="Times New Roman" w:eastAsia="Times New Roman" w:hAnsi="Times New Roman" w:cs="Times New Roman"/>
                <w:b/>
                <w:lang w:eastAsia="lv-LV"/>
              </w:rPr>
              <w:t>Trauku mazgāšanas līdzekļi ar neatbilstībām</w:t>
            </w:r>
          </w:p>
        </w:tc>
      </w:tr>
      <w:tr w:rsidR="00F350F7" w:rsidRPr="00F350F7" w:rsidTr="003D56E1">
        <w:trPr>
          <w:trHeight w:val="476"/>
        </w:trPr>
        <w:tc>
          <w:tcPr>
            <w:tcW w:w="5113" w:type="dxa"/>
            <w:tcBorders>
              <w:top w:val="single" w:sz="8" w:space="0" w:color="auto"/>
              <w:left w:val="single" w:sz="8" w:space="0" w:color="auto"/>
              <w:bottom w:val="single" w:sz="4" w:space="0" w:color="auto"/>
              <w:right w:val="single" w:sz="4" w:space="0" w:color="auto"/>
            </w:tcBorders>
            <w:shd w:val="clear" w:color="auto" w:fill="FFFFFF" w:themeFill="background1"/>
            <w:vAlign w:val="center"/>
            <w:hideMark/>
          </w:tcPr>
          <w:p w:rsidR="00F350F7" w:rsidRPr="00F350F7" w:rsidRDefault="00F350F7" w:rsidP="00F350F7">
            <w:pPr>
              <w:spacing w:after="0" w:line="240" w:lineRule="auto"/>
              <w:rPr>
                <w:rFonts w:ascii="Times New Roman" w:eastAsia="Times New Roman" w:hAnsi="Times New Roman" w:cs="Times New Roman"/>
                <w:lang w:eastAsia="lv-LV"/>
              </w:rPr>
            </w:pPr>
            <w:r w:rsidRPr="00F350F7">
              <w:rPr>
                <w:rFonts w:ascii="Times New Roman" w:eastAsia="Times New Roman" w:hAnsi="Times New Roman" w:cs="Times New Roman"/>
                <w:lang w:eastAsia="lv-LV"/>
              </w:rPr>
              <w:t>NAV norādīti konservant</w:t>
            </w:r>
            <w:r w:rsidRPr="00026D29">
              <w:rPr>
                <w:rFonts w:ascii="Times New Roman" w:eastAsia="Times New Roman" w:hAnsi="Times New Roman" w:cs="Times New Roman"/>
                <w:lang w:eastAsia="lv-LV"/>
              </w:rPr>
              <w:t>i</w:t>
            </w:r>
            <w:r w:rsidRPr="00F350F7">
              <w:rPr>
                <w:rFonts w:ascii="Times New Roman" w:eastAsia="Times New Roman" w:hAnsi="Times New Roman" w:cs="Times New Roman"/>
                <w:lang w:eastAsia="lv-LV"/>
              </w:rPr>
              <w:t xml:space="preserve"> vai nav izmantots INCI nosaukums</w:t>
            </w:r>
          </w:p>
        </w:tc>
        <w:tc>
          <w:tcPr>
            <w:tcW w:w="2552" w:type="dxa"/>
            <w:tcBorders>
              <w:top w:val="single" w:sz="8" w:space="0" w:color="auto"/>
              <w:left w:val="nil"/>
              <w:bottom w:val="single" w:sz="4" w:space="0" w:color="auto"/>
              <w:right w:val="single" w:sz="8" w:space="0" w:color="auto"/>
            </w:tcBorders>
            <w:shd w:val="clear" w:color="auto" w:fill="auto"/>
            <w:noWrap/>
            <w:vAlign w:val="center"/>
            <w:hideMark/>
          </w:tcPr>
          <w:p w:rsidR="00F350F7" w:rsidRPr="00F350F7" w:rsidRDefault="00F350F7" w:rsidP="00F350F7">
            <w:pPr>
              <w:spacing w:after="0" w:line="240" w:lineRule="auto"/>
              <w:jc w:val="center"/>
              <w:rPr>
                <w:rFonts w:ascii="Times New Roman" w:eastAsia="Times New Roman" w:hAnsi="Times New Roman" w:cs="Times New Roman"/>
                <w:lang w:eastAsia="lv-LV"/>
              </w:rPr>
            </w:pPr>
            <w:r w:rsidRPr="00F350F7">
              <w:rPr>
                <w:rFonts w:ascii="Times New Roman" w:eastAsia="Times New Roman" w:hAnsi="Times New Roman" w:cs="Times New Roman"/>
                <w:b/>
                <w:lang w:eastAsia="lv-LV"/>
              </w:rPr>
              <w:t>10</w:t>
            </w:r>
            <w:r w:rsidRPr="00F350F7">
              <w:rPr>
                <w:rFonts w:ascii="Times New Roman" w:eastAsia="Times New Roman" w:hAnsi="Times New Roman" w:cs="Times New Roman"/>
                <w:lang w:eastAsia="lv-LV"/>
              </w:rPr>
              <w:t xml:space="preserve"> (10%)</w:t>
            </w:r>
          </w:p>
        </w:tc>
      </w:tr>
      <w:tr w:rsidR="00F350F7" w:rsidRPr="00F350F7" w:rsidTr="003D56E1">
        <w:trPr>
          <w:trHeight w:val="714"/>
        </w:trPr>
        <w:tc>
          <w:tcPr>
            <w:tcW w:w="5113" w:type="dxa"/>
            <w:tcBorders>
              <w:top w:val="nil"/>
              <w:left w:val="single" w:sz="8" w:space="0" w:color="auto"/>
              <w:bottom w:val="single" w:sz="4" w:space="0" w:color="auto"/>
              <w:right w:val="single" w:sz="4" w:space="0" w:color="auto"/>
            </w:tcBorders>
            <w:shd w:val="clear" w:color="auto" w:fill="FFFFFF" w:themeFill="background1"/>
            <w:vAlign w:val="center"/>
            <w:hideMark/>
          </w:tcPr>
          <w:p w:rsidR="00F350F7" w:rsidRPr="00F350F7" w:rsidRDefault="00F350F7" w:rsidP="00F350F7">
            <w:pPr>
              <w:spacing w:after="0" w:line="240" w:lineRule="auto"/>
              <w:rPr>
                <w:rFonts w:ascii="Times New Roman" w:eastAsia="Times New Roman" w:hAnsi="Times New Roman" w:cs="Times New Roman"/>
                <w:lang w:eastAsia="lv-LV"/>
              </w:rPr>
            </w:pPr>
            <w:r w:rsidRPr="00F350F7">
              <w:rPr>
                <w:rFonts w:ascii="Times New Roman" w:eastAsia="Times New Roman" w:hAnsi="Times New Roman" w:cs="Times New Roman"/>
                <w:lang w:eastAsia="lv-LV"/>
              </w:rPr>
              <w:t>NAV norādītas alerģiju izraisošas smaržvielas vai nav izmantots INCI nosaukums</w:t>
            </w:r>
          </w:p>
        </w:tc>
        <w:tc>
          <w:tcPr>
            <w:tcW w:w="2552" w:type="dxa"/>
            <w:tcBorders>
              <w:top w:val="nil"/>
              <w:left w:val="nil"/>
              <w:bottom w:val="single" w:sz="4" w:space="0" w:color="auto"/>
              <w:right w:val="single" w:sz="8" w:space="0" w:color="auto"/>
            </w:tcBorders>
            <w:shd w:val="clear" w:color="auto" w:fill="auto"/>
            <w:noWrap/>
            <w:vAlign w:val="center"/>
            <w:hideMark/>
          </w:tcPr>
          <w:p w:rsidR="00F350F7" w:rsidRPr="00F350F7" w:rsidRDefault="00F350F7" w:rsidP="00F350F7">
            <w:pPr>
              <w:spacing w:after="0" w:line="240" w:lineRule="auto"/>
              <w:jc w:val="center"/>
              <w:rPr>
                <w:rFonts w:ascii="Times New Roman" w:eastAsia="Times New Roman" w:hAnsi="Times New Roman" w:cs="Times New Roman"/>
                <w:lang w:eastAsia="lv-LV"/>
              </w:rPr>
            </w:pPr>
            <w:r w:rsidRPr="00F350F7">
              <w:rPr>
                <w:rFonts w:ascii="Times New Roman" w:eastAsia="Times New Roman" w:hAnsi="Times New Roman" w:cs="Times New Roman"/>
                <w:b/>
                <w:lang w:eastAsia="lv-LV"/>
              </w:rPr>
              <w:t>6</w:t>
            </w:r>
            <w:r w:rsidRPr="00F350F7">
              <w:rPr>
                <w:rFonts w:ascii="Times New Roman" w:eastAsia="Times New Roman" w:hAnsi="Times New Roman" w:cs="Times New Roman"/>
                <w:lang w:eastAsia="lv-LV"/>
              </w:rPr>
              <w:t xml:space="preserve"> (6%)</w:t>
            </w:r>
          </w:p>
        </w:tc>
      </w:tr>
      <w:tr w:rsidR="00F350F7" w:rsidRPr="00F350F7" w:rsidTr="003D56E1">
        <w:trPr>
          <w:trHeight w:val="714"/>
        </w:trPr>
        <w:tc>
          <w:tcPr>
            <w:tcW w:w="5113" w:type="dxa"/>
            <w:tcBorders>
              <w:top w:val="nil"/>
              <w:left w:val="single" w:sz="8" w:space="0" w:color="auto"/>
              <w:bottom w:val="single" w:sz="4" w:space="0" w:color="auto"/>
              <w:right w:val="single" w:sz="4" w:space="0" w:color="auto"/>
            </w:tcBorders>
            <w:shd w:val="clear" w:color="auto" w:fill="FFFFFF" w:themeFill="background1"/>
            <w:vAlign w:val="center"/>
            <w:hideMark/>
          </w:tcPr>
          <w:p w:rsidR="00F350F7" w:rsidRPr="00F350F7" w:rsidRDefault="00F350F7" w:rsidP="00F350F7">
            <w:pPr>
              <w:spacing w:after="0" w:line="240" w:lineRule="auto"/>
              <w:rPr>
                <w:rFonts w:ascii="Times New Roman" w:eastAsia="Times New Roman" w:hAnsi="Times New Roman" w:cs="Times New Roman"/>
                <w:lang w:eastAsia="lv-LV"/>
              </w:rPr>
            </w:pPr>
            <w:r w:rsidRPr="00F350F7">
              <w:rPr>
                <w:rFonts w:ascii="Times New Roman" w:eastAsia="Times New Roman" w:hAnsi="Times New Roman" w:cs="Times New Roman"/>
                <w:lang w:eastAsia="lv-LV"/>
              </w:rPr>
              <w:t>NAV norādīts svara % diapazons un atbilstošs nosaukums noteiktām sastāvdaļām</w:t>
            </w:r>
          </w:p>
        </w:tc>
        <w:tc>
          <w:tcPr>
            <w:tcW w:w="2552" w:type="dxa"/>
            <w:tcBorders>
              <w:top w:val="nil"/>
              <w:left w:val="nil"/>
              <w:bottom w:val="single" w:sz="4" w:space="0" w:color="auto"/>
              <w:right w:val="single" w:sz="8" w:space="0" w:color="auto"/>
            </w:tcBorders>
            <w:shd w:val="clear" w:color="auto" w:fill="auto"/>
            <w:noWrap/>
            <w:vAlign w:val="center"/>
            <w:hideMark/>
          </w:tcPr>
          <w:p w:rsidR="00F350F7" w:rsidRPr="00F350F7" w:rsidRDefault="00F350F7" w:rsidP="00F350F7">
            <w:pPr>
              <w:spacing w:after="0" w:line="240" w:lineRule="auto"/>
              <w:jc w:val="center"/>
              <w:rPr>
                <w:rFonts w:ascii="Times New Roman" w:eastAsia="Times New Roman" w:hAnsi="Times New Roman" w:cs="Times New Roman"/>
                <w:lang w:eastAsia="lv-LV"/>
              </w:rPr>
            </w:pPr>
            <w:r w:rsidRPr="00F350F7">
              <w:rPr>
                <w:rFonts w:ascii="Times New Roman" w:eastAsia="Times New Roman" w:hAnsi="Times New Roman" w:cs="Times New Roman"/>
                <w:b/>
                <w:lang w:eastAsia="lv-LV"/>
              </w:rPr>
              <w:t>3</w:t>
            </w:r>
            <w:r w:rsidRPr="00F350F7">
              <w:rPr>
                <w:rFonts w:ascii="Times New Roman" w:eastAsia="Times New Roman" w:hAnsi="Times New Roman" w:cs="Times New Roman"/>
                <w:lang w:eastAsia="lv-LV"/>
              </w:rPr>
              <w:t xml:space="preserve"> (3%)</w:t>
            </w:r>
          </w:p>
        </w:tc>
      </w:tr>
      <w:tr w:rsidR="00F350F7" w:rsidRPr="00F350F7" w:rsidTr="003D56E1">
        <w:trPr>
          <w:trHeight w:val="502"/>
        </w:trPr>
        <w:tc>
          <w:tcPr>
            <w:tcW w:w="5113" w:type="dxa"/>
            <w:tcBorders>
              <w:top w:val="nil"/>
              <w:left w:val="single" w:sz="8" w:space="0" w:color="auto"/>
              <w:bottom w:val="single" w:sz="8" w:space="0" w:color="auto"/>
              <w:right w:val="single" w:sz="4" w:space="0" w:color="auto"/>
            </w:tcBorders>
            <w:shd w:val="clear" w:color="auto" w:fill="FFFFFF" w:themeFill="background1"/>
            <w:vAlign w:val="center"/>
            <w:hideMark/>
          </w:tcPr>
          <w:p w:rsidR="00F350F7" w:rsidRPr="00F350F7" w:rsidRDefault="00F350F7" w:rsidP="00F350F7">
            <w:pPr>
              <w:spacing w:after="0" w:line="240" w:lineRule="auto"/>
              <w:rPr>
                <w:rFonts w:ascii="Times New Roman" w:eastAsia="Times New Roman" w:hAnsi="Times New Roman" w:cs="Times New Roman"/>
                <w:lang w:eastAsia="lv-LV"/>
              </w:rPr>
            </w:pPr>
            <w:r w:rsidRPr="00F350F7">
              <w:rPr>
                <w:rFonts w:ascii="Times New Roman" w:eastAsia="Times New Roman" w:hAnsi="Times New Roman" w:cs="Times New Roman"/>
                <w:lang w:eastAsia="lv-LV"/>
              </w:rPr>
              <w:t xml:space="preserve">Informācija ir norādīta, bet </w:t>
            </w:r>
            <w:r w:rsidR="00283C86">
              <w:rPr>
                <w:rFonts w:ascii="Times New Roman" w:eastAsia="Times New Roman" w:hAnsi="Times New Roman" w:cs="Times New Roman"/>
                <w:lang w:eastAsia="lv-LV"/>
              </w:rPr>
              <w:t xml:space="preserve">tā ir </w:t>
            </w:r>
            <w:r w:rsidRPr="00F350F7">
              <w:rPr>
                <w:rFonts w:ascii="Times New Roman" w:eastAsia="Times New Roman" w:hAnsi="Times New Roman" w:cs="Times New Roman"/>
                <w:lang w:eastAsia="lv-LV"/>
              </w:rPr>
              <w:t>nekorekt</w:t>
            </w:r>
            <w:r w:rsidR="00283C86">
              <w:rPr>
                <w:rFonts w:ascii="Times New Roman" w:eastAsia="Times New Roman" w:hAnsi="Times New Roman" w:cs="Times New Roman"/>
                <w:lang w:eastAsia="lv-LV"/>
              </w:rPr>
              <w:t>a</w:t>
            </w:r>
          </w:p>
        </w:tc>
        <w:tc>
          <w:tcPr>
            <w:tcW w:w="2552" w:type="dxa"/>
            <w:tcBorders>
              <w:top w:val="nil"/>
              <w:left w:val="nil"/>
              <w:bottom w:val="single" w:sz="8" w:space="0" w:color="auto"/>
              <w:right w:val="single" w:sz="8" w:space="0" w:color="auto"/>
            </w:tcBorders>
            <w:shd w:val="clear" w:color="auto" w:fill="auto"/>
            <w:noWrap/>
            <w:vAlign w:val="center"/>
            <w:hideMark/>
          </w:tcPr>
          <w:p w:rsidR="00F350F7" w:rsidRPr="00F350F7" w:rsidRDefault="00F350F7" w:rsidP="00F350F7">
            <w:pPr>
              <w:spacing w:after="0" w:line="240" w:lineRule="auto"/>
              <w:jc w:val="center"/>
              <w:rPr>
                <w:rFonts w:ascii="Times New Roman" w:eastAsia="Times New Roman" w:hAnsi="Times New Roman" w:cs="Times New Roman"/>
                <w:lang w:eastAsia="lv-LV"/>
              </w:rPr>
            </w:pPr>
            <w:r w:rsidRPr="00F350F7">
              <w:rPr>
                <w:rFonts w:ascii="Times New Roman" w:eastAsia="Times New Roman" w:hAnsi="Times New Roman" w:cs="Times New Roman"/>
                <w:b/>
                <w:lang w:eastAsia="lv-LV"/>
              </w:rPr>
              <w:t>8</w:t>
            </w:r>
            <w:r w:rsidRPr="00F350F7">
              <w:rPr>
                <w:rFonts w:ascii="Times New Roman" w:eastAsia="Times New Roman" w:hAnsi="Times New Roman" w:cs="Times New Roman"/>
                <w:lang w:eastAsia="lv-LV"/>
              </w:rPr>
              <w:t xml:space="preserve"> (8%)</w:t>
            </w:r>
          </w:p>
        </w:tc>
      </w:tr>
    </w:tbl>
    <w:p w:rsidR="00F350F7" w:rsidRDefault="00DF62B7" w:rsidP="0078283C">
      <w:pPr>
        <w:spacing w:before="240" w:after="120" w:line="240" w:lineRule="auto"/>
        <w:jc w:val="both"/>
        <w:rPr>
          <w:rFonts w:ascii="Times New Roman" w:hAnsi="Times New Roman" w:cs="Times New Roman"/>
          <w:sz w:val="24"/>
          <w:szCs w:val="24"/>
        </w:rPr>
      </w:pPr>
      <w:r>
        <w:rPr>
          <w:rFonts w:ascii="Times New Roman" w:hAnsi="Times New Roman" w:cs="Times New Roman"/>
          <w:sz w:val="24"/>
          <w:szCs w:val="24"/>
        </w:rPr>
        <w:t>2</w:t>
      </w:r>
      <w:r w:rsidR="00F350F7">
        <w:rPr>
          <w:rFonts w:ascii="Times New Roman" w:hAnsi="Times New Roman" w:cs="Times New Roman"/>
          <w:sz w:val="24"/>
          <w:szCs w:val="24"/>
        </w:rPr>
        <w:t>.tabula. Mazgāšanas līdzekļu marķējumā konstatētās neatbilstības</w:t>
      </w:r>
      <w:r w:rsidR="00F350F7" w:rsidRPr="00F350F7">
        <w:rPr>
          <w:rFonts w:ascii="Times New Roman" w:hAnsi="Times New Roman" w:cs="Times New Roman"/>
          <w:sz w:val="24"/>
          <w:szCs w:val="24"/>
        </w:rPr>
        <w:t xml:space="preserve"> </w:t>
      </w:r>
      <w:r w:rsidR="00F350F7">
        <w:rPr>
          <w:rFonts w:ascii="Times New Roman" w:hAnsi="Times New Roman" w:cs="Times New Roman"/>
          <w:sz w:val="24"/>
          <w:szCs w:val="24"/>
        </w:rPr>
        <w:t xml:space="preserve">Regulas </w:t>
      </w:r>
      <w:r w:rsidR="00F350F7" w:rsidRPr="004E6B5D">
        <w:rPr>
          <w:rFonts w:ascii="Times New Roman" w:hAnsi="Times New Roman" w:cs="Times New Roman"/>
          <w:sz w:val="24"/>
          <w:szCs w:val="24"/>
        </w:rPr>
        <w:t>Nr.648/2004 par mazgāšanas līdzekļiem</w:t>
      </w:r>
      <w:r w:rsidR="00F350F7" w:rsidRPr="008F3427">
        <w:rPr>
          <w:rFonts w:ascii="Times New Roman" w:hAnsi="Times New Roman" w:cs="Times New Roman"/>
          <w:sz w:val="24"/>
          <w:szCs w:val="24"/>
        </w:rPr>
        <w:t xml:space="preserve"> prasībām</w:t>
      </w:r>
      <w:r w:rsidR="00F350F7">
        <w:rPr>
          <w:rFonts w:ascii="Times New Roman" w:hAnsi="Times New Roman" w:cs="Times New Roman"/>
          <w:sz w:val="24"/>
          <w:szCs w:val="24"/>
        </w:rPr>
        <w:t>.</w:t>
      </w:r>
    </w:p>
    <w:p w:rsidR="001D39C5" w:rsidRPr="00281487" w:rsidRDefault="001D39C5" w:rsidP="0078283C">
      <w:pPr>
        <w:spacing w:before="240" w:after="120" w:line="240" w:lineRule="auto"/>
        <w:jc w:val="both"/>
        <w:rPr>
          <w:rFonts w:ascii="Times New Roman" w:hAnsi="Times New Roman" w:cs="Times New Roman"/>
          <w:b/>
          <w:sz w:val="24"/>
          <w:szCs w:val="24"/>
        </w:rPr>
      </w:pPr>
      <w:r w:rsidRPr="00281487">
        <w:rPr>
          <w:rFonts w:ascii="Times New Roman" w:hAnsi="Times New Roman" w:cs="Times New Roman"/>
          <w:b/>
          <w:sz w:val="24"/>
          <w:szCs w:val="24"/>
        </w:rPr>
        <w:t xml:space="preserve">Kontrolēto mazgāšanas līdzekļu atbilstība </w:t>
      </w:r>
      <w:r>
        <w:rPr>
          <w:rFonts w:ascii="Times New Roman" w:hAnsi="Times New Roman" w:cs="Times New Roman"/>
          <w:b/>
          <w:sz w:val="24"/>
          <w:szCs w:val="24"/>
        </w:rPr>
        <w:t>citu normatīvo aktu prasībām</w:t>
      </w:r>
    </w:p>
    <w:p w:rsidR="001D39C5" w:rsidRDefault="001D39C5" w:rsidP="00492E98">
      <w:pPr>
        <w:pStyle w:val="Default"/>
        <w:tabs>
          <w:tab w:val="left" w:pos="567"/>
        </w:tabs>
        <w:spacing w:afterLines="60"/>
        <w:ind w:firstLine="567"/>
        <w:jc w:val="both"/>
        <w:rPr>
          <w:iCs/>
        </w:rPr>
      </w:pPr>
      <w:r>
        <w:t>Kontroļu laikā tika pārbaudīts, vai mazgāšanas līdzekļu marķējumā norādītie konservanti, kas ir līdzekļa sastāvā, ir atļauti</w:t>
      </w:r>
      <w:r w:rsidRPr="001D39C5">
        <w:t xml:space="preserve"> </w:t>
      </w:r>
      <w:r>
        <w:t>izmantošanai šāda</w:t>
      </w:r>
      <w:r w:rsidRPr="00DF2D2F">
        <w:t>m mērķim</w:t>
      </w:r>
      <w:r>
        <w:t xml:space="preserve">, saskaņā ar </w:t>
      </w:r>
      <w:r w:rsidRPr="00756DFF">
        <w:rPr>
          <w:iCs/>
        </w:rPr>
        <w:t>Regula</w:t>
      </w:r>
      <w:r>
        <w:rPr>
          <w:iCs/>
        </w:rPr>
        <w:t>s</w:t>
      </w:r>
      <w:r w:rsidRPr="00756DFF">
        <w:rPr>
          <w:iCs/>
        </w:rPr>
        <w:t xml:space="preserve"> Nr.</w:t>
      </w:r>
      <w:r w:rsidR="0078283C">
        <w:rPr>
          <w:iCs/>
        </w:rPr>
        <w:t> </w:t>
      </w:r>
      <w:r w:rsidRPr="00756DFF">
        <w:rPr>
          <w:iCs/>
        </w:rPr>
        <w:t>528/2012 par biocīdu piedāvāšanu tirgū un lietošanu</w:t>
      </w:r>
      <w:r>
        <w:rPr>
          <w:iCs/>
        </w:rPr>
        <w:t xml:space="preserve"> prasībām</w:t>
      </w:r>
      <w:r>
        <w:t>.</w:t>
      </w:r>
      <w:r w:rsidR="00871864">
        <w:t xml:space="preserve"> </w:t>
      </w:r>
      <w:r w:rsidR="004C7F88" w:rsidRPr="00756DFF">
        <w:t>No</w:t>
      </w:r>
      <w:r w:rsidR="004C7F88" w:rsidRPr="00DF2D2F">
        <w:t xml:space="preserve"> kontrolētajiem mazgāšanas līdzekļiem </w:t>
      </w:r>
      <w:r w:rsidR="00DE6FC3">
        <w:t>82</w:t>
      </w:r>
      <w:r w:rsidR="00DE6FC3" w:rsidRPr="00DF2D2F">
        <w:t xml:space="preserve"> </w:t>
      </w:r>
      <w:r w:rsidR="00871864">
        <w:t xml:space="preserve">(83,6%) </w:t>
      </w:r>
      <w:r w:rsidR="004C7F88" w:rsidRPr="00DF2D2F">
        <w:t>saturēja konservantus. Populārākie no tiem</w:t>
      </w:r>
      <w:r w:rsidR="00756DFF">
        <w:t xml:space="preserve"> ir</w:t>
      </w:r>
      <w:r w:rsidR="004C7F88" w:rsidRPr="00DF2D2F">
        <w:t xml:space="preserve"> </w:t>
      </w:r>
      <w:r w:rsidR="004C7F88" w:rsidRPr="00DF2D2F">
        <w:rPr>
          <w:i/>
        </w:rPr>
        <w:t xml:space="preserve">methylisothiazolinone, benzisothiazolinone </w:t>
      </w:r>
      <w:r w:rsidR="004C7F88" w:rsidRPr="00177C05">
        <w:t>un</w:t>
      </w:r>
      <w:r w:rsidR="004C7F88" w:rsidRPr="00DF2D2F">
        <w:rPr>
          <w:i/>
        </w:rPr>
        <w:t xml:space="preserve"> phenoxyethanol</w:t>
      </w:r>
      <w:r w:rsidR="004C7F88" w:rsidRPr="00DF2D2F">
        <w:t>.</w:t>
      </w:r>
      <w:r w:rsidRPr="001D39C5">
        <w:rPr>
          <w:iCs/>
        </w:rPr>
        <w:t xml:space="preserve"> </w:t>
      </w:r>
    </w:p>
    <w:p w:rsidR="001D39C5" w:rsidRPr="00250CE4" w:rsidRDefault="001D39C5" w:rsidP="00492E98">
      <w:pPr>
        <w:pStyle w:val="Default"/>
        <w:spacing w:afterLines="60"/>
        <w:ind w:firstLine="567"/>
        <w:jc w:val="both"/>
      </w:pPr>
      <w:r>
        <w:rPr>
          <w:iCs/>
        </w:rPr>
        <w:t xml:space="preserve">Papildus inspektori pievērsa uzmanību, vai ir ievēroti </w:t>
      </w:r>
      <w:r w:rsidRPr="00250CE4">
        <w:t>REACH</w:t>
      </w:r>
      <w:r>
        <w:t xml:space="preserve"> Regulā noteiktie </w:t>
      </w:r>
      <w:r w:rsidRPr="00250CE4">
        <w:t>bīstamo ķīmisko vielu un maisījumu tirdznie</w:t>
      </w:r>
      <w:r>
        <w:t>cības ierobežojumi un aizliegumi, piemēram, plašam patēriņam netiek pārdoti mazgāšanas līdzekļi, kas klasificēti un marķēti kā kancerogēni, mutagēni vai reproduktīvajai sistēmai toksiski.</w:t>
      </w:r>
    </w:p>
    <w:p w:rsidR="0078283C" w:rsidRPr="0078283C" w:rsidRDefault="00871864" w:rsidP="0078283C">
      <w:pPr>
        <w:tabs>
          <w:tab w:val="left" w:pos="567"/>
        </w:tabs>
        <w:spacing w:before="240" w:after="120" w:line="240" w:lineRule="auto"/>
        <w:ind w:firstLine="567"/>
        <w:jc w:val="both"/>
        <w:rPr>
          <w:rFonts w:ascii="Times New Roman" w:hAnsi="Times New Roman" w:cs="Times New Roman"/>
          <w:iCs/>
          <w:sz w:val="24"/>
          <w:szCs w:val="24"/>
        </w:rPr>
      </w:pPr>
      <w:r w:rsidRPr="00871864">
        <w:rPr>
          <w:rFonts w:ascii="Times New Roman" w:hAnsi="Times New Roman" w:cs="Times New Roman"/>
          <w:iCs/>
          <w:sz w:val="24"/>
          <w:szCs w:val="24"/>
        </w:rPr>
        <w:t>Neatbilstības šo normatīvo aktu prasībām netika konstatētas.</w:t>
      </w:r>
      <w:r w:rsidR="000A23F6">
        <w:rPr>
          <w:rFonts w:ascii="Times New Roman" w:hAnsi="Times New Roman" w:cs="Times New Roman"/>
          <w:iCs/>
          <w:sz w:val="24"/>
          <w:szCs w:val="24"/>
        </w:rPr>
        <w:t xml:space="preserve"> Jāat</w:t>
      </w:r>
      <w:r w:rsidR="0078283C">
        <w:rPr>
          <w:rFonts w:ascii="Times New Roman" w:hAnsi="Times New Roman" w:cs="Times New Roman"/>
          <w:iCs/>
          <w:sz w:val="24"/>
          <w:szCs w:val="24"/>
        </w:rPr>
        <w:t>zīmē, ka mazumtirdzniecībā neti</w:t>
      </w:r>
      <w:r w:rsidR="000A23F6">
        <w:rPr>
          <w:rFonts w:ascii="Times New Roman" w:hAnsi="Times New Roman" w:cs="Times New Roman"/>
          <w:iCs/>
          <w:sz w:val="24"/>
          <w:szCs w:val="24"/>
        </w:rPr>
        <w:t>k</w:t>
      </w:r>
      <w:r w:rsidR="0078283C">
        <w:rPr>
          <w:rFonts w:ascii="Times New Roman" w:hAnsi="Times New Roman" w:cs="Times New Roman"/>
          <w:iCs/>
          <w:sz w:val="24"/>
          <w:szCs w:val="24"/>
        </w:rPr>
        <w:t>a</w:t>
      </w:r>
      <w:r w:rsidR="000A23F6">
        <w:rPr>
          <w:rFonts w:ascii="Times New Roman" w:hAnsi="Times New Roman" w:cs="Times New Roman"/>
          <w:iCs/>
          <w:sz w:val="24"/>
          <w:szCs w:val="24"/>
        </w:rPr>
        <w:t xml:space="preserve"> kontrolētas prasības, par ko atbildīgs ir vairumtirdzniecības uzņēmums, piemēram, drošības datu lapu esamība un </w:t>
      </w:r>
      <w:r w:rsidR="00194BED">
        <w:rPr>
          <w:rFonts w:ascii="Times New Roman" w:hAnsi="Times New Roman" w:cs="Times New Roman"/>
          <w:iCs/>
          <w:sz w:val="24"/>
          <w:szCs w:val="24"/>
        </w:rPr>
        <w:t xml:space="preserve">to </w:t>
      </w:r>
      <w:r w:rsidR="000A23F6">
        <w:rPr>
          <w:rFonts w:ascii="Times New Roman" w:hAnsi="Times New Roman" w:cs="Times New Roman"/>
          <w:iCs/>
          <w:sz w:val="24"/>
          <w:szCs w:val="24"/>
        </w:rPr>
        <w:t>saturs, klasificēšanas pareizība, pārskatu iesniegšana, ķīmisko vielu reģistrēšanas pienākuma izpilde u.c.</w:t>
      </w:r>
    </w:p>
    <w:p w:rsidR="00194BED" w:rsidRPr="00194BED" w:rsidRDefault="003002F3" w:rsidP="0078283C">
      <w:pPr>
        <w:tabs>
          <w:tab w:val="left" w:pos="567"/>
        </w:tabs>
        <w:spacing w:before="240" w:after="120" w:line="240" w:lineRule="auto"/>
        <w:jc w:val="both"/>
        <w:rPr>
          <w:rFonts w:ascii="Times New Roman" w:hAnsi="Times New Roman" w:cs="Times New Roman"/>
          <w:b/>
          <w:sz w:val="24"/>
          <w:szCs w:val="24"/>
        </w:rPr>
      </w:pPr>
      <w:r w:rsidRPr="00194BED">
        <w:rPr>
          <w:rFonts w:ascii="Times New Roman" w:hAnsi="Times New Roman" w:cs="Times New Roman"/>
          <w:b/>
          <w:sz w:val="24"/>
          <w:szCs w:val="24"/>
        </w:rPr>
        <w:t>„Pilnā plaukta” kontroļu rezultātu salīdzinājums ar iepriekšējo gadu kontroļu rezultātiem</w:t>
      </w:r>
    </w:p>
    <w:p w:rsidR="00476718" w:rsidRDefault="00B70769" w:rsidP="0078283C">
      <w:pPr>
        <w:tabs>
          <w:tab w:val="left" w:pos="567"/>
        </w:tabs>
        <w:spacing w:before="120" w:after="120" w:line="240" w:lineRule="auto"/>
        <w:ind w:firstLine="567"/>
        <w:jc w:val="both"/>
        <w:rPr>
          <w:rFonts w:ascii="Times New Roman" w:hAnsi="Times New Roman" w:cs="Times New Roman"/>
          <w:sz w:val="24"/>
          <w:szCs w:val="24"/>
        </w:rPr>
      </w:pPr>
      <w:r w:rsidRPr="00BD28FC">
        <w:rPr>
          <w:rFonts w:ascii="Times New Roman" w:hAnsi="Times New Roman" w:cs="Times New Roman"/>
          <w:sz w:val="24"/>
          <w:szCs w:val="24"/>
        </w:rPr>
        <w:t xml:space="preserve">Salīdzinot „Pilnā plaukta” kontroļu laikā konstatēto neatbilstošo mazgāšanas līdzekļu skaitu (kad nokontrolē pilnīgi visus plauktā </w:t>
      </w:r>
      <w:r>
        <w:rPr>
          <w:rFonts w:ascii="Times New Roman" w:hAnsi="Times New Roman" w:cs="Times New Roman"/>
          <w:sz w:val="24"/>
          <w:szCs w:val="24"/>
        </w:rPr>
        <w:t xml:space="preserve">esošos </w:t>
      </w:r>
      <w:r w:rsidRPr="00BD28FC">
        <w:rPr>
          <w:rFonts w:ascii="Times New Roman" w:hAnsi="Times New Roman" w:cs="Times New Roman"/>
          <w:sz w:val="24"/>
          <w:szCs w:val="24"/>
        </w:rPr>
        <w:t>trauku mazgāšanas līdzekļus) ar caurmēra plānveida kontrolēs</w:t>
      </w:r>
      <w:r>
        <w:rPr>
          <w:rFonts w:ascii="Times New Roman" w:hAnsi="Times New Roman" w:cs="Times New Roman"/>
          <w:sz w:val="24"/>
          <w:szCs w:val="24"/>
        </w:rPr>
        <w:t xml:space="preserve"> mazumtirdzniecības veikalos</w:t>
      </w:r>
      <w:r w:rsidRPr="00BD28FC">
        <w:rPr>
          <w:rFonts w:ascii="Times New Roman" w:hAnsi="Times New Roman" w:cs="Times New Roman"/>
          <w:sz w:val="24"/>
          <w:szCs w:val="24"/>
        </w:rPr>
        <w:t xml:space="preserve"> </w:t>
      </w:r>
      <w:r>
        <w:rPr>
          <w:rFonts w:ascii="Times New Roman" w:hAnsi="Times New Roman" w:cs="Times New Roman"/>
          <w:sz w:val="24"/>
          <w:szCs w:val="24"/>
        </w:rPr>
        <w:t xml:space="preserve">(kad inspektors kontrolei atlasa līdz desmit ķīmisko vielu vai maisījumu) </w:t>
      </w:r>
      <w:r w:rsidRPr="00BD28FC">
        <w:rPr>
          <w:rFonts w:ascii="Times New Roman" w:hAnsi="Times New Roman" w:cs="Times New Roman"/>
          <w:sz w:val="24"/>
          <w:szCs w:val="24"/>
        </w:rPr>
        <w:t xml:space="preserve">konstatēto neatbilstošo </w:t>
      </w:r>
      <w:r>
        <w:rPr>
          <w:rFonts w:ascii="Times New Roman" w:hAnsi="Times New Roman" w:cs="Times New Roman"/>
          <w:sz w:val="24"/>
          <w:szCs w:val="24"/>
        </w:rPr>
        <w:t xml:space="preserve">visu veidu </w:t>
      </w:r>
      <w:r w:rsidRPr="00BD28FC">
        <w:rPr>
          <w:rFonts w:ascii="Times New Roman" w:hAnsi="Times New Roman" w:cs="Times New Roman"/>
          <w:sz w:val="24"/>
          <w:szCs w:val="24"/>
        </w:rPr>
        <w:t>ķīmisko vielu un maisījumu skaitu par iepriekšējiem gadiem, konstatēts</w:t>
      </w:r>
      <w:r>
        <w:rPr>
          <w:rFonts w:ascii="Times New Roman" w:hAnsi="Times New Roman" w:cs="Times New Roman"/>
          <w:sz w:val="24"/>
          <w:szCs w:val="24"/>
        </w:rPr>
        <w:t xml:space="preserve">, ka </w:t>
      </w:r>
      <w:r w:rsidR="00194BED" w:rsidRPr="00BD28FC">
        <w:rPr>
          <w:rFonts w:ascii="Times New Roman" w:hAnsi="Times New Roman" w:cs="Times New Roman"/>
          <w:sz w:val="24"/>
          <w:szCs w:val="24"/>
        </w:rPr>
        <w:t xml:space="preserve">„Pilnā plaukta” kontroļu laikā </w:t>
      </w:r>
      <w:r w:rsidR="007F204A">
        <w:rPr>
          <w:rFonts w:ascii="Times New Roman" w:hAnsi="Times New Roman" w:cs="Times New Roman"/>
          <w:sz w:val="24"/>
          <w:szCs w:val="24"/>
        </w:rPr>
        <w:t>konstatēts</w:t>
      </w:r>
      <w:r w:rsidR="00194BED">
        <w:rPr>
          <w:rFonts w:ascii="Times New Roman" w:hAnsi="Times New Roman" w:cs="Times New Roman"/>
          <w:sz w:val="24"/>
          <w:szCs w:val="24"/>
        </w:rPr>
        <w:t xml:space="preserve"> </w:t>
      </w:r>
      <w:r>
        <w:rPr>
          <w:rFonts w:ascii="Times New Roman" w:hAnsi="Times New Roman" w:cs="Times New Roman"/>
          <w:sz w:val="24"/>
          <w:szCs w:val="24"/>
        </w:rPr>
        <w:t xml:space="preserve">būtiski </w:t>
      </w:r>
      <w:r w:rsidR="007F204A">
        <w:rPr>
          <w:rFonts w:ascii="Times New Roman" w:hAnsi="Times New Roman" w:cs="Times New Roman"/>
          <w:sz w:val="24"/>
          <w:szCs w:val="24"/>
        </w:rPr>
        <w:t>mazāks CLP prasībām neatbilstoši marķēto mazgāšanas līdzekļu skaits</w:t>
      </w:r>
      <w:r w:rsidR="00720C96">
        <w:rPr>
          <w:rFonts w:ascii="Times New Roman" w:hAnsi="Times New Roman" w:cs="Times New Roman"/>
          <w:sz w:val="24"/>
          <w:szCs w:val="24"/>
        </w:rPr>
        <w:t xml:space="preserve">, turklāt vērojams neatbilstoši marķēto maisījumu </w:t>
      </w:r>
      <w:r w:rsidR="00D22AFC">
        <w:rPr>
          <w:rFonts w:ascii="Times New Roman" w:hAnsi="Times New Roman" w:cs="Times New Roman"/>
          <w:sz w:val="24"/>
          <w:szCs w:val="24"/>
        </w:rPr>
        <w:t xml:space="preserve">skaita </w:t>
      </w:r>
      <w:r w:rsidR="00720C96">
        <w:rPr>
          <w:rFonts w:ascii="Times New Roman" w:hAnsi="Times New Roman" w:cs="Times New Roman"/>
          <w:sz w:val="24"/>
          <w:szCs w:val="24"/>
        </w:rPr>
        <w:t>samazinājums pēdējos gados</w:t>
      </w:r>
      <w:r w:rsidR="00D22AFC">
        <w:rPr>
          <w:rFonts w:ascii="Times New Roman" w:hAnsi="Times New Roman" w:cs="Times New Roman"/>
          <w:sz w:val="24"/>
          <w:szCs w:val="24"/>
        </w:rPr>
        <w:t xml:space="preserve"> (5.attēls)</w:t>
      </w:r>
      <w:r w:rsidR="007F204A">
        <w:rPr>
          <w:rFonts w:ascii="Times New Roman" w:hAnsi="Times New Roman" w:cs="Times New Roman"/>
          <w:sz w:val="24"/>
          <w:szCs w:val="24"/>
        </w:rPr>
        <w:t xml:space="preserve">. </w:t>
      </w:r>
      <w:r>
        <w:rPr>
          <w:rFonts w:ascii="Times New Roman" w:hAnsi="Times New Roman" w:cs="Times New Roman"/>
          <w:sz w:val="24"/>
          <w:szCs w:val="24"/>
        </w:rPr>
        <w:t>Kas varētu būt skaidrojams ar faktu, ka 2017.</w:t>
      </w:r>
      <w:r w:rsidR="00B92729">
        <w:rPr>
          <w:rFonts w:ascii="Times New Roman" w:hAnsi="Times New Roman" w:cs="Times New Roman"/>
          <w:sz w:val="24"/>
          <w:szCs w:val="24"/>
        </w:rPr>
        <w:t> </w:t>
      </w:r>
      <w:r>
        <w:rPr>
          <w:rFonts w:ascii="Times New Roman" w:hAnsi="Times New Roman" w:cs="Times New Roman"/>
          <w:sz w:val="24"/>
          <w:szCs w:val="24"/>
        </w:rPr>
        <w:t xml:space="preserve">gadā beidzās pārejas periods, kad pārdošanā varēja </w:t>
      </w:r>
      <w:r>
        <w:rPr>
          <w:rFonts w:ascii="Times New Roman" w:hAnsi="Times New Roman" w:cs="Times New Roman"/>
          <w:sz w:val="24"/>
          <w:szCs w:val="24"/>
        </w:rPr>
        <w:lastRenderedPageBreak/>
        <w:t>būt arī pēc iepriekšējās sistēmas marķēti ķīmiskie maisījumi</w:t>
      </w:r>
      <w:r w:rsidR="00476718">
        <w:rPr>
          <w:rFonts w:ascii="Times New Roman" w:hAnsi="Times New Roman" w:cs="Times New Roman"/>
          <w:sz w:val="24"/>
          <w:szCs w:val="24"/>
        </w:rPr>
        <w:t xml:space="preserve">, līdz ar to 2017.gadā </w:t>
      </w:r>
      <w:r w:rsidR="00720C96">
        <w:rPr>
          <w:rFonts w:ascii="Times New Roman" w:hAnsi="Times New Roman" w:cs="Times New Roman"/>
          <w:sz w:val="24"/>
          <w:szCs w:val="24"/>
        </w:rPr>
        <w:t xml:space="preserve">bija </w:t>
      </w:r>
      <w:r w:rsidR="00476718">
        <w:rPr>
          <w:rFonts w:ascii="Times New Roman" w:hAnsi="Times New Roman" w:cs="Times New Roman"/>
          <w:sz w:val="24"/>
          <w:szCs w:val="24"/>
        </w:rPr>
        <w:t>konstatēts liels īpatsvars prasībām neatbilstoši marķētu ķīmisko maisījumu</w:t>
      </w:r>
      <w:r>
        <w:rPr>
          <w:rFonts w:ascii="Times New Roman" w:hAnsi="Times New Roman" w:cs="Times New Roman"/>
          <w:sz w:val="24"/>
          <w:szCs w:val="24"/>
        </w:rPr>
        <w:t>.</w:t>
      </w:r>
    </w:p>
    <w:p w:rsidR="00476718" w:rsidRDefault="006F7266" w:rsidP="00C647EB">
      <w:pPr>
        <w:spacing w:line="240" w:lineRule="auto"/>
        <w:jc w:val="both"/>
        <w:rPr>
          <w:rFonts w:ascii="Times New Roman" w:hAnsi="Times New Roman" w:cs="Times New Roman"/>
          <w:sz w:val="20"/>
          <w:szCs w:val="20"/>
        </w:rPr>
      </w:pPr>
      <w:r>
        <w:rPr>
          <w:rFonts w:ascii="Times New Roman" w:hAnsi="Times New Roman" w:cs="Times New Roman"/>
          <w:noProof/>
          <w:sz w:val="20"/>
          <w:szCs w:val="20"/>
          <w:lang w:val="en-US"/>
        </w:rPr>
        <w:drawing>
          <wp:inline distT="0" distB="0" distL="0" distR="0">
            <wp:extent cx="4982320" cy="2544418"/>
            <wp:effectExtent l="19050" t="0" r="27830" b="8282"/>
            <wp:docPr id="1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22AFC" w:rsidRDefault="00D22AFC" w:rsidP="00D22AFC">
      <w:pPr>
        <w:keepNext/>
        <w:spacing w:after="60"/>
        <w:jc w:val="both"/>
        <w:rPr>
          <w:rFonts w:ascii="Times New Roman" w:hAnsi="Times New Roman" w:cs="Times New Roman"/>
          <w:sz w:val="24"/>
          <w:szCs w:val="24"/>
        </w:rPr>
      </w:pPr>
      <w:r>
        <w:rPr>
          <w:rFonts w:ascii="Times New Roman" w:hAnsi="Times New Roman" w:cs="Times New Roman"/>
          <w:sz w:val="24"/>
          <w:szCs w:val="24"/>
        </w:rPr>
        <w:t>5.attēls. Salīdzinājums ar CLP prasībām neatbilstoši marķēto ķīmisko vielu un maisījumu īpatsvaru.</w:t>
      </w:r>
    </w:p>
    <w:p w:rsidR="00D22AFC" w:rsidRDefault="00D22AFC" w:rsidP="00492E98">
      <w:pPr>
        <w:spacing w:afterLines="60" w:line="240" w:lineRule="auto"/>
        <w:ind w:firstLine="567"/>
        <w:jc w:val="both"/>
        <w:rPr>
          <w:rFonts w:ascii="Times New Roman" w:hAnsi="Times New Roman" w:cs="Times New Roman"/>
          <w:sz w:val="24"/>
          <w:szCs w:val="24"/>
        </w:rPr>
      </w:pPr>
      <w:r>
        <w:rPr>
          <w:rFonts w:ascii="Times New Roman" w:hAnsi="Times New Roman" w:cs="Times New Roman"/>
          <w:sz w:val="24"/>
          <w:szCs w:val="24"/>
        </w:rPr>
        <w:t>Savukārt Regulā</w:t>
      </w:r>
      <w:r w:rsidRPr="00006FC0">
        <w:rPr>
          <w:rFonts w:ascii="Times New Roman" w:hAnsi="Times New Roman" w:cs="Times New Roman"/>
          <w:sz w:val="24"/>
          <w:szCs w:val="24"/>
        </w:rPr>
        <w:t xml:space="preserve"> Nr.648/2004 par mazgāšanas līdzekļiem</w:t>
      </w:r>
      <w:r>
        <w:rPr>
          <w:rFonts w:ascii="Times New Roman" w:hAnsi="Times New Roman" w:cs="Times New Roman"/>
          <w:sz w:val="24"/>
          <w:szCs w:val="24"/>
        </w:rPr>
        <w:t xml:space="preserve"> noteiktajām speciālajām prasībām neatbilstoši marķēto mazgāšanas līdzekļu skaits mazumtirdzniecībā iepriekšējos gados statistiski būtiski neatšķiras no „Pilnā plaukta” rezultātiem (6.attēls).</w:t>
      </w:r>
    </w:p>
    <w:p w:rsidR="003D3A59" w:rsidRDefault="006F7266" w:rsidP="00C647EB">
      <w:pPr>
        <w:spacing w:line="240" w:lineRule="auto"/>
        <w:jc w:val="both"/>
        <w:rPr>
          <w:rFonts w:ascii="Times New Roman" w:hAnsi="Times New Roman" w:cs="Times New Roman"/>
          <w:sz w:val="20"/>
          <w:szCs w:val="20"/>
        </w:rPr>
      </w:pPr>
      <w:r>
        <w:rPr>
          <w:rFonts w:ascii="Times New Roman" w:hAnsi="Times New Roman" w:cs="Times New Roman"/>
          <w:noProof/>
          <w:sz w:val="20"/>
          <w:szCs w:val="20"/>
          <w:lang w:val="en-US"/>
        </w:rPr>
        <w:drawing>
          <wp:inline distT="0" distB="0" distL="0" distR="0">
            <wp:extent cx="4699599" cy="2708694"/>
            <wp:effectExtent l="19050" t="0" r="24801" b="0"/>
            <wp:docPr id="1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B2080" w:rsidRDefault="00D22AFC" w:rsidP="00FB2080">
      <w:pPr>
        <w:keepNext/>
        <w:spacing w:after="60"/>
        <w:jc w:val="both"/>
        <w:rPr>
          <w:rFonts w:ascii="Times New Roman" w:hAnsi="Times New Roman" w:cs="Times New Roman"/>
          <w:sz w:val="24"/>
          <w:szCs w:val="24"/>
        </w:rPr>
      </w:pPr>
      <w:r>
        <w:rPr>
          <w:rFonts w:ascii="Times New Roman" w:hAnsi="Times New Roman" w:cs="Times New Roman"/>
          <w:sz w:val="24"/>
          <w:szCs w:val="24"/>
        </w:rPr>
        <w:t>6</w:t>
      </w:r>
      <w:r w:rsidR="00FB2080">
        <w:rPr>
          <w:rFonts w:ascii="Times New Roman" w:hAnsi="Times New Roman" w:cs="Times New Roman"/>
          <w:sz w:val="24"/>
          <w:szCs w:val="24"/>
        </w:rPr>
        <w:t>.attēls. Neatbilstoši marķēto ķīmisko vielu un maisījumu (ĶV/ĶM) salīdzinājums.</w:t>
      </w:r>
    </w:p>
    <w:p w:rsidR="00C647EB" w:rsidRPr="00C647EB" w:rsidRDefault="00C647EB" w:rsidP="00C647EB">
      <w:pPr>
        <w:spacing w:line="240" w:lineRule="auto"/>
        <w:jc w:val="both"/>
        <w:rPr>
          <w:rFonts w:ascii="Times New Roman" w:hAnsi="Times New Roman" w:cs="Times New Roman"/>
          <w:sz w:val="20"/>
          <w:szCs w:val="20"/>
        </w:rPr>
      </w:pPr>
      <w:r w:rsidRPr="00C647EB">
        <w:rPr>
          <w:rFonts w:ascii="Times New Roman" w:hAnsi="Times New Roman" w:cs="Times New Roman"/>
          <w:sz w:val="20"/>
          <w:szCs w:val="20"/>
        </w:rPr>
        <w:t xml:space="preserve">**ML regula - Regula Nr.648/2004 par </w:t>
      </w:r>
      <w:r>
        <w:rPr>
          <w:rFonts w:ascii="Times New Roman" w:hAnsi="Times New Roman" w:cs="Times New Roman"/>
          <w:sz w:val="20"/>
          <w:szCs w:val="20"/>
        </w:rPr>
        <w:t xml:space="preserve">mazgāšanas </w:t>
      </w:r>
      <w:r w:rsidRPr="00C647EB">
        <w:rPr>
          <w:rFonts w:ascii="Times New Roman" w:hAnsi="Times New Roman" w:cs="Times New Roman"/>
          <w:sz w:val="20"/>
          <w:szCs w:val="20"/>
        </w:rPr>
        <w:t>līdzekļiem.</w:t>
      </w:r>
      <w:r w:rsidR="00FB2080" w:rsidRPr="00FB2080">
        <w:rPr>
          <w:rFonts w:ascii="Times New Roman" w:hAnsi="Times New Roman" w:cs="Times New Roman"/>
          <w:sz w:val="20"/>
          <w:szCs w:val="20"/>
        </w:rPr>
        <w:t xml:space="preserve"> </w:t>
      </w:r>
      <w:r w:rsidR="00FB2080" w:rsidRPr="00C647EB">
        <w:rPr>
          <w:rFonts w:ascii="Times New Roman" w:hAnsi="Times New Roman" w:cs="Times New Roman"/>
          <w:sz w:val="20"/>
          <w:szCs w:val="20"/>
        </w:rPr>
        <w:t>*CLP regula –</w:t>
      </w:r>
      <w:r w:rsidR="00B92729">
        <w:rPr>
          <w:rFonts w:ascii="Times New Roman" w:hAnsi="Times New Roman" w:cs="Times New Roman"/>
          <w:sz w:val="20"/>
          <w:szCs w:val="20"/>
        </w:rPr>
        <w:t xml:space="preserve"> </w:t>
      </w:r>
      <w:r w:rsidR="00FB2080" w:rsidRPr="00C647EB">
        <w:rPr>
          <w:rFonts w:ascii="Times New Roman" w:hAnsi="Times New Roman" w:cs="Times New Roman"/>
          <w:sz w:val="20"/>
          <w:szCs w:val="20"/>
        </w:rPr>
        <w:t>Regula Nr.1272/2008 par vielu un maisījumu klasific</w:t>
      </w:r>
      <w:r w:rsidR="00B92729">
        <w:rPr>
          <w:rFonts w:ascii="Times New Roman" w:hAnsi="Times New Roman" w:cs="Times New Roman"/>
          <w:sz w:val="20"/>
          <w:szCs w:val="20"/>
        </w:rPr>
        <w:t>ēšanu, marķēšanu un iepakošanu.</w:t>
      </w:r>
    </w:p>
    <w:p w:rsidR="00682974" w:rsidRDefault="00B92729" w:rsidP="00492E98">
      <w:pPr>
        <w:spacing w:afterLines="60" w:line="240" w:lineRule="auto"/>
        <w:ind w:firstLine="567"/>
        <w:jc w:val="both"/>
        <w:rPr>
          <w:rFonts w:ascii="Times New Roman" w:hAnsi="Times New Roman" w:cs="Times New Roman"/>
          <w:sz w:val="20"/>
          <w:szCs w:val="20"/>
        </w:rPr>
      </w:pPr>
      <w:r>
        <w:rPr>
          <w:rFonts w:ascii="Times New Roman" w:hAnsi="Times New Roman" w:cs="Times New Roman"/>
          <w:sz w:val="24"/>
          <w:szCs w:val="24"/>
        </w:rPr>
        <w:t>To</w:t>
      </w:r>
      <w:r w:rsidR="00682974">
        <w:rPr>
          <w:rFonts w:ascii="Times New Roman" w:hAnsi="Times New Roman" w:cs="Times New Roman"/>
          <w:sz w:val="24"/>
          <w:szCs w:val="24"/>
        </w:rPr>
        <w:t xml:space="preserve">, ka samazinās CLP regulas prasībām neatbilstoši marķēto ķīmisko maisījumu skaits, bet būtiski nemainās Regulas </w:t>
      </w:r>
      <w:r w:rsidR="00682974" w:rsidRPr="004E6B5D">
        <w:rPr>
          <w:rFonts w:ascii="Times New Roman" w:hAnsi="Times New Roman" w:cs="Times New Roman"/>
          <w:sz w:val="24"/>
          <w:szCs w:val="24"/>
        </w:rPr>
        <w:t>Nr.</w:t>
      </w:r>
      <w:r>
        <w:rPr>
          <w:rFonts w:ascii="Times New Roman" w:hAnsi="Times New Roman" w:cs="Times New Roman"/>
          <w:sz w:val="24"/>
          <w:szCs w:val="24"/>
        </w:rPr>
        <w:t> </w:t>
      </w:r>
      <w:r w:rsidR="00682974" w:rsidRPr="004E6B5D">
        <w:rPr>
          <w:rFonts w:ascii="Times New Roman" w:hAnsi="Times New Roman" w:cs="Times New Roman"/>
          <w:sz w:val="24"/>
          <w:szCs w:val="24"/>
        </w:rPr>
        <w:t>648/2004 par mazgāšanas līdzekļiem</w:t>
      </w:r>
      <w:r w:rsidR="00682974" w:rsidRPr="008F3427">
        <w:rPr>
          <w:rFonts w:ascii="Times New Roman" w:hAnsi="Times New Roman" w:cs="Times New Roman"/>
          <w:sz w:val="24"/>
          <w:szCs w:val="24"/>
        </w:rPr>
        <w:t xml:space="preserve"> prasībām</w:t>
      </w:r>
      <w:r w:rsidR="00682974">
        <w:rPr>
          <w:rFonts w:ascii="Times New Roman" w:hAnsi="Times New Roman" w:cs="Times New Roman"/>
          <w:sz w:val="24"/>
          <w:szCs w:val="24"/>
        </w:rPr>
        <w:t xml:space="preserve"> neatbilstoši marķēto mazgāšanas līdzekļu skaits </w:t>
      </w:r>
      <w:r>
        <w:rPr>
          <w:rFonts w:ascii="Times New Roman" w:hAnsi="Times New Roman" w:cs="Times New Roman"/>
          <w:sz w:val="24"/>
          <w:szCs w:val="24"/>
        </w:rPr>
        <w:t>vairāku gadu posmā</w:t>
      </w:r>
      <w:r w:rsidR="00682974">
        <w:rPr>
          <w:rFonts w:ascii="Times New Roman" w:hAnsi="Times New Roman" w:cs="Times New Roman"/>
          <w:sz w:val="24"/>
          <w:szCs w:val="24"/>
        </w:rPr>
        <w:t>, var skaidrot</w:t>
      </w:r>
      <w:r w:rsidR="00180336">
        <w:rPr>
          <w:rFonts w:ascii="Times New Roman" w:hAnsi="Times New Roman" w:cs="Times New Roman"/>
          <w:sz w:val="24"/>
          <w:szCs w:val="24"/>
        </w:rPr>
        <w:t xml:space="preserve"> arī</w:t>
      </w:r>
      <w:r w:rsidR="00682974">
        <w:rPr>
          <w:rFonts w:ascii="Times New Roman" w:hAnsi="Times New Roman" w:cs="Times New Roman"/>
          <w:sz w:val="24"/>
          <w:szCs w:val="24"/>
        </w:rPr>
        <w:t xml:space="preserve"> ar šo prasību būtiskumu. Neatbilstības CLP regulas prasībām, kad patērētājam netiek sniegta informācija par ķīmiskā maisījuma bīstamību un nepieciešamajiem piesardzības pasākumiem lietojot un uzglabājot, vienmēr tiek vērtēta kā būtiska. Un būtisku neatbilstību gadījumā </w:t>
      </w:r>
      <w:r w:rsidR="00682974">
        <w:rPr>
          <w:rFonts w:ascii="Times New Roman" w:hAnsi="Times New Roman" w:cs="Times New Roman"/>
          <w:sz w:val="24"/>
          <w:szCs w:val="24"/>
        </w:rPr>
        <w:lastRenderedPageBreak/>
        <w:t xml:space="preserve">inspektori lemj par neatbilstošā ķīmiskā maisījuma tirdzniecības </w:t>
      </w:r>
      <w:r w:rsidR="00180336">
        <w:rPr>
          <w:rFonts w:ascii="Times New Roman" w:hAnsi="Times New Roman" w:cs="Times New Roman"/>
          <w:sz w:val="24"/>
          <w:szCs w:val="24"/>
        </w:rPr>
        <w:t>apturēšanu līdz neatbilstības novēršanai</w:t>
      </w:r>
      <w:r w:rsidR="00682974">
        <w:rPr>
          <w:rFonts w:ascii="Times New Roman" w:hAnsi="Times New Roman" w:cs="Times New Roman"/>
          <w:sz w:val="24"/>
          <w:szCs w:val="24"/>
        </w:rPr>
        <w:t xml:space="preserve">. Savukārt marķējuma neatbilstības </w:t>
      </w:r>
      <w:r w:rsidR="00682974" w:rsidRPr="00006FC0">
        <w:rPr>
          <w:rFonts w:ascii="Times New Roman" w:hAnsi="Times New Roman" w:cs="Times New Roman"/>
          <w:sz w:val="24"/>
          <w:szCs w:val="24"/>
        </w:rPr>
        <w:t>Regula</w:t>
      </w:r>
      <w:r w:rsidR="00682974">
        <w:rPr>
          <w:rFonts w:ascii="Times New Roman" w:hAnsi="Times New Roman" w:cs="Times New Roman"/>
          <w:sz w:val="24"/>
          <w:szCs w:val="24"/>
        </w:rPr>
        <w:t>s</w:t>
      </w:r>
      <w:r w:rsidR="00682974" w:rsidRPr="00006FC0">
        <w:rPr>
          <w:rFonts w:ascii="Times New Roman" w:hAnsi="Times New Roman" w:cs="Times New Roman"/>
          <w:sz w:val="24"/>
          <w:szCs w:val="24"/>
        </w:rPr>
        <w:t xml:space="preserve"> Nr.</w:t>
      </w:r>
      <w:r>
        <w:rPr>
          <w:rFonts w:ascii="Times New Roman" w:hAnsi="Times New Roman" w:cs="Times New Roman"/>
          <w:sz w:val="24"/>
          <w:szCs w:val="24"/>
        </w:rPr>
        <w:t> </w:t>
      </w:r>
      <w:r w:rsidR="00682974" w:rsidRPr="00006FC0">
        <w:rPr>
          <w:rFonts w:ascii="Times New Roman" w:hAnsi="Times New Roman" w:cs="Times New Roman"/>
          <w:sz w:val="24"/>
          <w:szCs w:val="24"/>
        </w:rPr>
        <w:t>648/2004 par mazgāšanas līdzekļiem</w:t>
      </w:r>
      <w:r w:rsidR="00682974">
        <w:rPr>
          <w:rFonts w:ascii="Times New Roman" w:hAnsi="Times New Roman" w:cs="Times New Roman"/>
          <w:sz w:val="24"/>
          <w:szCs w:val="24"/>
        </w:rPr>
        <w:t xml:space="preserve"> prasībām </w:t>
      </w:r>
      <w:r w:rsidR="00180336">
        <w:rPr>
          <w:rFonts w:ascii="Times New Roman" w:hAnsi="Times New Roman" w:cs="Times New Roman"/>
          <w:sz w:val="24"/>
          <w:szCs w:val="24"/>
        </w:rPr>
        <w:t xml:space="preserve">tieši </w:t>
      </w:r>
      <w:r w:rsidR="00682974">
        <w:rPr>
          <w:rFonts w:ascii="Times New Roman" w:hAnsi="Times New Roman" w:cs="Times New Roman"/>
          <w:sz w:val="24"/>
          <w:szCs w:val="24"/>
        </w:rPr>
        <w:t xml:space="preserve">nerada draudus patērētāja veselībai vai mantai, tādējādi inspektori uzdod veikt atbildīgajam komersantam nepieciešamās korekcijas, nepiemērojot sankcijas un līdz ar to komersanti ir mazāk motivēti </w:t>
      </w:r>
      <w:r>
        <w:rPr>
          <w:rFonts w:ascii="Times New Roman" w:hAnsi="Times New Roman" w:cs="Times New Roman"/>
          <w:sz w:val="24"/>
          <w:szCs w:val="24"/>
        </w:rPr>
        <w:t>rūpīgi</w:t>
      </w:r>
      <w:r w:rsidR="00682974">
        <w:rPr>
          <w:rFonts w:ascii="Times New Roman" w:hAnsi="Times New Roman" w:cs="Times New Roman"/>
          <w:sz w:val="24"/>
          <w:szCs w:val="24"/>
        </w:rPr>
        <w:t xml:space="preserve"> sekot arī šo prasību izpildei.</w:t>
      </w:r>
    </w:p>
    <w:p w:rsidR="005B4EDD" w:rsidRDefault="005B4EDD" w:rsidP="002D3643">
      <w:pPr>
        <w:spacing w:before="240" w:after="120" w:line="240" w:lineRule="auto"/>
        <w:jc w:val="both"/>
        <w:rPr>
          <w:rFonts w:ascii="Times New Roman" w:hAnsi="Times New Roman" w:cs="Times New Roman"/>
          <w:b/>
          <w:sz w:val="24"/>
          <w:szCs w:val="24"/>
        </w:rPr>
      </w:pPr>
      <w:r w:rsidRPr="009F0D52">
        <w:rPr>
          <w:rFonts w:ascii="Times New Roman" w:hAnsi="Times New Roman" w:cs="Times New Roman"/>
          <w:b/>
          <w:sz w:val="24"/>
          <w:szCs w:val="24"/>
        </w:rPr>
        <w:t>Secinājumi:</w:t>
      </w:r>
    </w:p>
    <w:p w:rsidR="00735030" w:rsidRPr="009A7E36" w:rsidRDefault="00735030" w:rsidP="007B3997">
      <w:pPr>
        <w:pStyle w:val="ListParagraph"/>
        <w:numPr>
          <w:ilvl w:val="0"/>
          <w:numId w:val="1"/>
        </w:numPr>
        <w:spacing w:after="0" w:line="240" w:lineRule="auto"/>
        <w:jc w:val="both"/>
        <w:rPr>
          <w:rFonts w:ascii="Times New Roman" w:hAnsi="Times New Roman" w:cs="Times New Roman"/>
          <w:sz w:val="24"/>
          <w:szCs w:val="24"/>
        </w:rPr>
      </w:pPr>
      <w:r w:rsidRPr="00325858">
        <w:rPr>
          <w:rFonts w:ascii="Times New Roman" w:hAnsi="Times New Roman" w:cs="Times New Roman"/>
          <w:sz w:val="24"/>
          <w:szCs w:val="24"/>
        </w:rPr>
        <w:t xml:space="preserve">„Pilnā plaukta” kontrolēs, kad tika kontrolēti pilnīgi visi </w:t>
      </w:r>
      <w:r w:rsidR="00325858" w:rsidRPr="00325858">
        <w:rPr>
          <w:rFonts w:ascii="Times New Roman" w:hAnsi="Times New Roman" w:cs="Times New Roman"/>
          <w:sz w:val="24"/>
          <w:szCs w:val="24"/>
        </w:rPr>
        <w:t xml:space="preserve">tobrīd </w:t>
      </w:r>
      <w:r w:rsidRPr="00325858">
        <w:rPr>
          <w:rFonts w:ascii="Times New Roman" w:hAnsi="Times New Roman" w:cs="Times New Roman"/>
          <w:sz w:val="24"/>
          <w:szCs w:val="24"/>
        </w:rPr>
        <w:t xml:space="preserve">plauktā mazumtirdzniecībā esošie trauku mazgāšanas līdzekļi (98), konstatēts statistiski būtiski mazāks neatbilstību  īpatsvars marķējumā, salīdzinājumā ar iepriekšējo trīs gadu kontroļu rezultātiem. Šie dati apstiprina, ka veicot uz riska kritērijiem balstītu produktu atlasi, kad inspektors kontrolei atlasa līdz desmit produktus, kam </w:t>
      </w:r>
      <w:r w:rsidR="00325858" w:rsidRPr="00325858">
        <w:rPr>
          <w:rFonts w:ascii="Times New Roman" w:hAnsi="Times New Roman" w:cs="Times New Roman"/>
          <w:sz w:val="24"/>
          <w:szCs w:val="24"/>
        </w:rPr>
        <w:t xml:space="preserve">ir </w:t>
      </w:r>
      <w:r w:rsidRPr="00325858">
        <w:rPr>
          <w:rFonts w:ascii="Times New Roman" w:hAnsi="Times New Roman" w:cs="Times New Roman"/>
          <w:sz w:val="24"/>
          <w:szCs w:val="24"/>
        </w:rPr>
        <w:t xml:space="preserve">potenciāli lielāka varbūtība konstatēt neatbilstības normatīvo aktu prasībām, tiek panākta augstāka kontroles efektivitāte, neatbilstību konstatēšana un novēršana. </w:t>
      </w:r>
    </w:p>
    <w:p w:rsidR="00146277" w:rsidRPr="00DD5302" w:rsidRDefault="00F27B02" w:rsidP="00194BED">
      <w:pPr>
        <w:pStyle w:val="ListParagraph"/>
        <w:numPr>
          <w:ilvl w:val="0"/>
          <w:numId w:val="1"/>
        </w:numPr>
        <w:spacing w:before="120" w:after="120" w:line="240" w:lineRule="auto"/>
        <w:ind w:left="714" w:hanging="357"/>
        <w:jc w:val="both"/>
        <w:rPr>
          <w:rFonts w:ascii="Times New Roman" w:hAnsi="Times New Roman" w:cs="Times New Roman"/>
          <w:sz w:val="24"/>
          <w:szCs w:val="24"/>
        </w:rPr>
      </w:pPr>
      <w:r w:rsidRPr="00146277">
        <w:rPr>
          <w:rFonts w:ascii="Times New Roman" w:hAnsi="Times New Roman" w:cs="Times New Roman"/>
          <w:sz w:val="24"/>
          <w:szCs w:val="24"/>
        </w:rPr>
        <w:t>Tirgū esošajiem trauku mazgāšanas līdzekļiem visbiežākā</w:t>
      </w:r>
      <w:r w:rsidR="00DD5302">
        <w:rPr>
          <w:rFonts w:ascii="Times New Roman" w:hAnsi="Times New Roman" w:cs="Times New Roman"/>
          <w:sz w:val="24"/>
          <w:szCs w:val="24"/>
        </w:rPr>
        <w:t>s</w:t>
      </w:r>
      <w:r w:rsidRPr="00146277">
        <w:rPr>
          <w:rFonts w:ascii="Times New Roman" w:hAnsi="Times New Roman" w:cs="Times New Roman"/>
          <w:sz w:val="24"/>
          <w:szCs w:val="24"/>
        </w:rPr>
        <w:t xml:space="preserve"> neatbilstība</w:t>
      </w:r>
      <w:r w:rsidR="00DD5302">
        <w:rPr>
          <w:rFonts w:ascii="Times New Roman" w:hAnsi="Times New Roman" w:cs="Times New Roman"/>
          <w:sz w:val="24"/>
          <w:szCs w:val="24"/>
        </w:rPr>
        <w:t>s</w:t>
      </w:r>
      <w:r w:rsidRPr="00146277">
        <w:rPr>
          <w:rFonts w:ascii="Times New Roman" w:hAnsi="Times New Roman" w:cs="Times New Roman"/>
          <w:sz w:val="24"/>
          <w:szCs w:val="24"/>
        </w:rPr>
        <w:t xml:space="preserve"> ir nekorekta vai nepilnīga informācija </w:t>
      </w:r>
      <w:r w:rsidR="00146277" w:rsidRPr="00146277">
        <w:rPr>
          <w:rFonts w:ascii="Times New Roman" w:hAnsi="Times New Roman" w:cs="Times New Roman"/>
          <w:sz w:val="24"/>
          <w:szCs w:val="24"/>
        </w:rPr>
        <w:t>latviešu valodas marķējumā attiecībā uz sastāvdaļām</w:t>
      </w:r>
      <w:r w:rsidR="00E63E81" w:rsidRPr="00146277">
        <w:rPr>
          <w:rFonts w:ascii="Times New Roman" w:hAnsi="Times New Roman" w:cs="Times New Roman"/>
          <w:sz w:val="24"/>
          <w:szCs w:val="24"/>
        </w:rPr>
        <w:t xml:space="preserve">, bet </w:t>
      </w:r>
      <w:r w:rsidR="00DD5302">
        <w:rPr>
          <w:rFonts w:ascii="Times New Roman" w:hAnsi="Times New Roman" w:cs="Times New Roman"/>
          <w:sz w:val="24"/>
          <w:szCs w:val="24"/>
        </w:rPr>
        <w:t>šīm neatbilstībām nav n</w:t>
      </w:r>
      <w:bookmarkStart w:id="0" w:name="_GoBack"/>
      <w:bookmarkEnd w:id="0"/>
      <w:r w:rsidR="00DD5302">
        <w:rPr>
          <w:rFonts w:ascii="Times New Roman" w:hAnsi="Times New Roman" w:cs="Times New Roman"/>
          <w:sz w:val="24"/>
          <w:szCs w:val="24"/>
        </w:rPr>
        <w:t>ozīmīga</w:t>
      </w:r>
      <w:r w:rsidR="00E63E81" w:rsidRPr="00DD5302">
        <w:rPr>
          <w:rFonts w:ascii="Times New Roman" w:hAnsi="Times New Roman" w:cs="Times New Roman"/>
          <w:sz w:val="24"/>
          <w:szCs w:val="24"/>
        </w:rPr>
        <w:t>s ietekm</w:t>
      </w:r>
      <w:r w:rsidR="00DD5302">
        <w:rPr>
          <w:rFonts w:ascii="Times New Roman" w:hAnsi="Times New Roman" w:cs="Times New Roman"/>
          <w:sz w:val="24"/>
          <w:szCs w:val="24"/>
        </w:rPr>
        <w:t>es uz</w:t>
      </w:r>
      <w:r w:rsidRPr="00DD5302">
        <w:rPr>
          <w:rFonts w:ascii="Times New Roman" w:hAnsi="Times New Roman" w:cs="Times New Roman"/>
          <w:sz w:val="24"/>
          <w:szCs w:val="24"/>
        </w:rPr>
        <w:t xml:space="preserve"> produkta drošu lietošanu.</w:t>
      </w:r>
    </w:p>
    <w:p w:rsidR="003B6ECB" w:rsidRDefault="003B6ECB" w:rsidP="003B6ECB">
      <w:pPr>
        <w:spacing w:before="120"/>
        <w:jc w:val="both"/>
        <w:rPr>
          <w:rFonts w:ascii="Times New Roman" w:hAnsi="Times New Roman" w:cs="Times New Roman"/>
          <w:sz w:val="24"/>
          <w:szCs w:val="24"/>
        </w:rPr>
      </w:pPr>
    </w:p>
    <w:sectPr w:rsidR="003B6ECB" w:rsidSect="00325858">
      <w:pgSz w:w="11906" w:h="16838"/>
      <w:pgMar w:top="1440" w:right="1133" w:bottom="1440"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C266A8" w15:done="0"/>
  <w15:commentEx w15:paraId="1A525DAF" w15:done="0"/>
  <w15:commentEx w15:paraId="4258C70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C266A8" w16cid:durableId="207F201F"/>
  <w16cid:commentId w16cid:paraId="1A525DAF" w16cid:durableId="207F2F11"/>
  <w16cid:commentId w16cid:paraId="4258C70D" w16cid:durableId="207F3971"/>
</w16cid:commentsId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E116D3"/>
    <w:multiLevelType w:val="hybridMultilevel"/>
    <w:tmpl w:val="7F2C49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6860072E"/>
    <w:multiLevelType w:val="hybridMultilevel"/>
    <w:tmpl w:val="46EC28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unārs Rumpēters">
    <w15:presenceInfo w15:providerId="None" w15:userId="Gunārs Rumpēter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96B8C"/>
    <w:rsid w:val="00001BD1"/>
    <w:rsid w:val="00006FC0"/>
    <w:rsid w:val="00021BCB"/>
    <w:rsid w:val="00023FDC"/>
    <w:rsid w:val="00026D29"/>
    <w:rsid w:val="0003264F"/>
    <w:rsid w:val="00041A0F"/>
    <w:rsid w:val="00047CCB"/>
    <w:rsid w:val="00052D95"/>
    <w:rsid w:val="00093762"/>
    <w:rsid w:val="000A23F6"/>
    <w:rsid w:val="000A257C"/>
    <w:rsid w:val="000A46D1"/>
    <w:rsid w:val="000B20DD"/>
    <w:rsid w:val="000B6855"/>
    <w:rsid w:val="000C5010"/>
    <w:rsid w:val="000C721F"/>
    <w:rsid w:val="000D387A"/>
    <w:rsid w:val="000F67F6"/>
    <w:rsid w:val="0012176D"/>
    <w:rsid w:val="001317F5"/>
    <w:rsid w:val="00137476"/>
    <w:rsid w:val="00146277"/>
    <w:rsid w:val="00171800"/>
    <w:rsid w:val="00177C05"/>
    <w:rsid w:val="00180336"/>
    <w:rsid w:val="00193C31"/>
    <w:rsid w:val="00194BED"/>
    <w:rsid w:val="00196B8C"/>
    <w:rsid w:val="001A5838"/>
    <w:rsid w:val="001B7493"/>
    <w:rsid w:val="001B7A14"/>
    <w:rsid w:val="001C4D8C"/>
    <w:rsid w:val="001D39C5"/>
    <w:rsid w:val="001D6939"/>
    <w:rsid w:val="001E1E85"/>
    <w:rsid w:val="001F093E"/>
    <w:rsid w:val="001F1AAA"/>
    <w:rsid w:val="001F6937"/>
    <w:rsid w:val="00203D17"/>
    <w:rsid w:val="002272B6"/>
    <w:rsid w:val="002329DD"/>
    <w:rsid w:val="00235B41"/>
    <w:rsid w:val="00240203"/>
    <w:rsid w:val="00241F82"/>
    <w:rsid w:val="00245465"/>
    <w:rsid w:val="00250CE4"/>
    <w:rsid w:val="00256658"/>
    <w:rsid w:val="002606FA"/>
    <w:rsid w:val="00266C30"/>
    <w:rsid w:val="00281487"/>
    <w:rsid w:val="00283C86"/>
    <w:rsid w:val="00285CCE"/>
    <w:rsid w:val="00291464"/>
    <w:rsid w:val="00292276"/>
    <w:rsid w:val="002A010D"/>
    <w:rsid w:val="002B045B"/>
    <w:rsid w:val="002B20A1"/>
    <w:rsid w:val="002D3643"/>
    <w:rsid w:val="003002F3"/>
    <w:rsid w:val="00325858"/>
    <w:rsid w:val="003348B2"/>
    <w:rsid w:val="00342F1B"/>
    <w:rsid w:val="00346B42"/>
    <w:rsid w:val="003556CC"/>
    <w:rsid w:val="00357E60"/>
    <w:rsid w:val="00362B34"/>
    <w:rsid w:val="00367189"/>
    <w:rsid w:val="00383AA6"/>
    <w:rsid w:val="00387B6F"/>
    <w:rsid w:val="003956F5"/>
    <w:rsid w:val="003A65EB"/>
    <w:rsid w:val="003B554C"/>
    <w:rsid w:val="003B6ECB"/>
    <w:rsid w:val="003C0D1E"/>
    <w:rsid w:val="003C23F2"/>
    <w:rsid w:val="003C544F"/>
    <w:rsid w:val="003D1668"/>
    <w:rsid w:val="003D3A59"/>
    <w:rsid w:val="003D56E1"/>
    <w:rsid w:val="003E06CB"/>
    <w:rsid w:val="00405FF8"/>
    <w:rsid w:val="00414628"/>
    <w:rsid w:val="00415662"/>
    <w:rsid w:val="0042343E"/>
    <w:rsid w:val="00427702"/>
    <w:rsid w:val="00427D62"/>
    <w:rsid w:val="00433FC9"/>
    <w:rsid w:val="00436744"/>
    <w:rsid w:val="00476718"/>
    <w:rsid w:val="00482D2F"/>
    <w:rsid w:val="00491ED7"/>
    <w:rsid w:val="00492E98"/>
    <w:rsid w:val="00493207"/>
    <w:rsid w:val="004A085F"/>
    <w:rsid w:val="004A1603"/>
    <w:rsid w:val="004A1807"/>
    <w:rsid w:val="004A7B66"/>
    <w:rsid w:val="004B1027"/>
    <w:rsid w:val="004B1C80"/>
    <w:rsid w:val="004C7F88"/>
    <w:rsid w:val="004D52B8"/>
    <w:rsid w:val="004E048E"/>
    <w:rsid w:val="004E6B4B"/>
    <w:rsid w:val="004E6B5D"/>
    <w:rsid w:val="004F53C5"/>
    <w:rsid w:val="0050576E"/>
    <w:rsid w:val="005079A2"/>
    <w:rsid w:val="0051764C"/>
    <w:rsid w:val="00524FA6"/>
    <w:rsid w:val="00542702"/>
    <w:rsid w:val="00543394"/>
    <w:rsid w:val="005463AC"/>
    <w:rsid w:val="00564538"/>
    <w:rsid w:val="00590507"/>
    <w:rsid w:val="00597AD0"/>
    <w:rsid w:val="005A6A73"/>
    <w:rsid w:val="005B0512"/>
    <w:rsid w:val="005B4EDD"/>
    <w:rsid w:val="005F532A"/>
    <w:rsid w:val="005F67D8"/>
    <w:rsid w:val="006000AD"/>
    <w:rsid w:val="00606E9D"/>
    <w:rsid w:val="0062737F"/>
    <w:rsid w:val="006273B4"/>
    <w:rsid w:val="00637273"/>
    <w:rsid w:val="006408E1"/>
    <w:rsid w:val="00647A96"/>
    <w:rsid w:val="006500EB"/>
    <w:rsid w:val="0066106D"/>
    <w:rsid w:val="00661843"/>
    <w:rsid w:val="006676FC"/>
    <w:rsid w:val="00667ACB"/>
    <w:rsid w:val="00682974"/>
    <w:rsid w:val="006854DA"/>
    <w:rsid w:val="0068601B"/>
    <w:rsid w:val="00690A33"/>
    <w:rsid w:val="006B49A3"/>
    <w:rsid w:val="006D6476"/>
    <w:rsid w:val="006E0858"/>
    <w:rsid w:val="006E2344"/>
    <w:rsid w:val="006E321D"/>
    <w:rsid w:val="006F7266"/>
    <w:rsid w:val="0070065B"/>
    <w:rsid w:val="00703A86"/>
    <w:rsid w:val="00720C96"/>
    <w:rsid w:val="00733E1D"/>
    <w:rsid w:val="00734D76"/>
    <w:rsid w:val="00735030"/>
    <w:rsid w:val="007438F6"/>
    <w:rsid w:val="00747494"/>
    <w:rsid w:val="007548DF"/>
    <w:rsid w:val="007556BC"/>
    <w:rsid w:val="00756DFF"/>
    <w:rsid w:val="00763C7E"/>
    <w:rsid w:val="0076513C"/>
    <w:rsid w:val="00766C0B"/>
    <w:rsid w:val="00770ACC"/>
    <w:rsid w:val="007762C4"/>
    <w:rsid w:val="007764A2"/>
    <w:rsid w:val="00777C59"/>
    <w:rsid w:val="00781AB3"/>
    <w:rsid w:val="0078283C"/>
    <w:rsid w:val="00786216"/>
    <w:rsid w:val="00787C60"/>
    <w:rsid w:val="007A5690"/>
    <w:rsid w:val="007B3997"/>
    <w:rsid w:val="007B5A49"/>
    <w:rsid w:val="007B7D13"/>
    <w:rsid w:val="007C2479"/>
    <w:rsid w:val="007C3C7B"/>
    <w:rsid w:val="007E71C8"/>
    <w:rsid w:val="007F204A"/>
    <w:rsid w:val="007F6FDE"/>
    <w:rsid w:val="00803F4C"/>
    <w:rsid w:val="00806118"/>
    <w:rsid w:val="00816CB7"/>
    <w:rsid w:val="0082537A"/>
    <w:rsid w:val="008337E9"/>
    <w:rsid w:val="00840C12"/>
    <w:rsid w:val="008464EF"/>
    <w:rsid w:val="00850E2A"/>
    <w:rsid w:val="00852CD4"/>
    <w:rsid w:val="008535D7"/>
    <w:rsid w:val="008615DA"/>
    <w:rsid w:val="00866DBC"/>
    <w:rsid w:val="00866EEC"/>
    <w:rsid w:val="00871864"/>
    <w:rsid w:val="00881275"/>
    <w:rsid w:val="008A102A"/>
    <w:rsid w:val="008D26FF"/>
    <w:rsid w:val="008F3427"/>
    <w:rsid w:val="008F71DB"/>
    <w:rsid w:val="00906920"/>
    <w:rsid w:val="00950396"/>
    <w:rsid w:val="00967830"/>
    <w:rsid w:val="00991890"/>
    <w:rsid w:val="009931BC"/>
    <w:rsid w:val="00993BA6"/>
    <w:rsid w:val="009A508D"/>
    <w:rsid w:val="009A7E36"/>
    <w:rsid w:val="009B13B0"/>
    <w:rsid w:val="009B6BD8"/>
    <w:rsid w:val="009B6FB0"/>
    <w:rsid w:val="009C5669"/>
    <w:rsid w:val="009D2A9C"/>
    <w:rsid w:val="009F0D52"/>
    <w:rsid w:val="009F410D"/>
    <w:rsid w:val="009F71B5"/>
    <w:rsid w:val="00A14939"/>
    <w:rsid w:val="00A325ED"/>
    <w:rsid w:val="00A35050"/>
    <w:rsid w:val="00A40FA0"/>
    <w:rsid w:val="00A5187B"/>
    <w:rsid w:val="00A547E3"/>
    <w:rsid w:val="00A63835"/>
    <w:rsid w:val="00A66FDC"/>
    <w:rsid w:val="00A67DE7"/>
    <w:rsid w:val="00A83334"/>
    <w:rsid w:val="00AA0127"/>
    <w:rsid w:val="00AB5ED1"/>
    <w:rsid w:val="00AC6ED9"/>
    <w:rsid w:val="00B0379E"/>
    <w:rsid w:val="00B114B0"/>
    <w:rsid w:val="00B22F69"/>
    <w:rsid w:val="00B24AC4"/>
    <w:rsid w:val="00B66639"/>
    <w:rsid w:val="00B70769"/>
    <w:rsid w:val="00B92729"/>
    <w:rsid w:val="00BA15CD"/>
    <w:rsid w:val="00BC40D2"/>
    <w:rsid w:val="00BC5FCC"/>
    <w:rsid w:val="00BC7E64"/>
    <w:rsid w:val="00BD28FC"/>
    <w:rsid w:val="00BD5583"/>
    <w:rsid w:val="00BD7262"/>
    <w:rsid w:val="00BE4C38"/>
    <w:rsid w:val="00C03DB5"/>
    <w:rsid w:val="00C114E5"/>
    <w:rsid w:val="00C16B82"/>
    <w:rsid w:val="00C21514"/>
    <w:rsid w:val="00C24743"/>
    <w:rsid w:val="00C318D9"/>
    <w:rsid w:val="00C36A33"/>
    <w:rsid w:val="00C444CB"/>
    <w:rsid w:val="00C647EB"/>
    <w:rsid w:val="00C7098A"/>
    <w:rsid w:val="00C804D6"/>
    <w:rsid w:val="00CA3D61"/>
    <w:rsid w:val="00CB2172"/>
    <w:rsid w:val="00CB4BF6"/>
    <w:rsid w:val="00CE3902"/>
    <w:rsid w:val="00D05B05"/>
    <w:rsid w:val="00D178BD"/>
    <w:rsid w:val="00D20919"/>
    <w:rsid w:val="00D22AFC"/>
    <w:rsid w:val="00D237B7"/>
    <w:rsid w:val="00D25E8E"/>
    <w:rsid w:val="00D30BE4"/>
    <w:rsid w:val="00D61F64"/>
    <w:rsid w:val="00D628A8"/>
    <w:rsid w:val="00D67CD6"/>
    <w:rsid w:val="00D70CFC"/>
    <w:rsid w:val="00DA6503"/>
    <w:rsid w:val="00DB4FF6"/>
    <w:rsid w:val="00DC077B"/>
    <w:rsid w:val="00DC332E"/>
    <w:rsid w:val="00DC6ED6"/>
    <w:rsid w:val="00DD061D"/>
    <w:rsid w:val="00DD208B"/>
    <w:rsid w:val="00DD5302"/>
    <w:rsid w:val="00DE6FC3"/>
    <w:rsid w:val="00DE7B8E"/>
    <w:rsid w:val="00DF1943"/>
    <w:rsid w:val="00DF2D2F"/>
    <w:rsid w:val="00DF62B7"/>
    <w:rsid w:val="00DF7634"/>
    <w:rsid w:val="00E0105B"/>
    <w:rsid w:val="00E03F28"/>
    <w:rsid w:val="00E14A20"/>
    <w:rsid w:val="00E24433"/>
    <w:rsid w:val="00E3175F"/>
    <w:rsid w:val="00E320BA"/>
    <w:rsid w:val="00E36C9A"/>
    <w:rsid w:val="00E4401B"/>
    <w:rsid w:val="00E47794"/>
    <w:rsid w:val="00E5005E"/>
    <w:rsid w:val="00E541F1"/>
    <w:rsid w:val="00E55AC4"/>
    <w:rsid w:val="00E61712"/>
    <w:rsid w:val="00E6228B"/>
    <w:rsid w:val="00E623DE"/>
    <w:rsid w:val="00E63E81"/>
    <w:rsid w:val="00E65543"/>
    <w:rsid w:val="00E65C04"/>
    <w:rsid w:val="00E748FF"/>
    <w:rsid w:val="00E77776"/>
    <w:rsid w:val="00E86FB6"/>
    <w:rsid w:val="00E92469"/>
    <w:rsid w:val="00E93C77"/>
    <w:rsid w:val="00EB1A86"/>
    <w:rsid w:val="00EB3C10"/>
    <w:rsid w:val="00EC196A"/>
    <w:rsid w:val="00EC7F64"/>
    <w:rsid w:val="00EE17AC"/>
    <w:rsid w:val="00EF3ABA"/>
    <w:rsid w:val="00F059C8"/>
    <w:rsid w:val="00F13FD4"/>
    <w:rsid w:val="00F21C14"/>
    <w:rsid w:val="00F24BA5"/>
    <w:rsid w:val="00F27B02"/>
    <w:rsid w:val="00F350F7"/>
    <w:rsid w:val="00F44248"/>
    <w:rsid w:val="00F53281"/>
    <w:rsid w:val="00F67C49"/>
    <w:rsid w:val="00F67EDE"/>
    <w:rsid w:val="00F717B0"/>
    <w:rsid w:val="00F71DE2"/>
    <w:rsid w:val="00F83D96"/>
    <w:rsid w:val="00F916CC"/>
    <w:rsid w:val="00F93444"/>
    <w:rsid w:val="00FA66EB"/>
    <w:rsid w:val="00FA7B4F"/>
    <w:rsid w:val="00FB2080"/>
    <w:rsid w:val="00FC34DD"/>
    <w:rsid w:val="00FF2048"/>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E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34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427"/>
    <w:rPr>
      <w:rFonts w:ascii="Tahoma" w:hAnsi="Tahoma" w:cs="Tahoma"/>
      <w:sz w:val="16"/>
      <w:szCs w:val="16"/>
    </w:rPr>
  </w:style>
  <w:style w:type="character" w:customStyle="1" w:styleId="gwtext-compositecellchild">
    <w:name w:val="gwtext-compositecellchild"/>
    <w:basedOn w:val="DefaultParagraphFont"/>
    <w:rsid w:val="00F059C8"/>
  </w:style>
  <w:style w:type="paragraph" w:styleId="ListParagraph">
    <w:name w:val="List Paragraph"/>
    <w:basedOn w:val="Normal"/>
    <w:uiPriority w:val="34"/>
    <w:qFormat/>
    <w:rsid w:val="007548DF"/>
    <w:pPr>
      <w:ind w:left="720"/>
      <w:contextualSpacing/>
    </w:pPr>
  </w:style>
  <w:style w:type="character" w:styleId="CommentReference">
    <w:name w:val="annotation reference"/>
    <w:basedOn w:val="DefaultParagraphFont"/>
    <w:uiPriority w:val="99"/>
    <w:semiHidden/>
    <w:unhideWhenUsed/>
    <w:rsid w:val="00AC6ED9"/>
    <w:rPr>
      <w:sz w:val="16"/>
      <w:szCs w:val="16"/>
    </w:rPr>
  </w:style>
  <w:style w:type="paragraph" w:styleId="CommentText">
    <w:name w:val="annotation text"/>
    <w:basedOn w:val="Normal"/>
    <w:link w:val="CommentTextChar"/>
    <w:uiPriority w:val="99"/>
    <w:semiHidden/>
    <w:unhideWhenUsed/>
    <w:rsid w:val="00AC6ED9"/>
    <w:pPr>
      <w:spacing w:line="240" w:lineRule="auto"/>
    </w:pPr>
    <w:rPr>
      <w:sz w:val="20"/>
      <w:szCs w:val="20"/>
    </w:rPr>
  </w:style>
  <w:style w:type="character" w:customStyle="1" w:styleId="CommentTextChar">
    <w:name w:val="Comment Text Char"/>
    <w:basedOn w:val="DefaultParagraphFont"/>
    <w:link w:val="CommentText"/>
    <w:uiPriority w:val="99"/>
    <w:semiHidden/>
    <w:rsid w:val="00AC6ED9"/>
    <w:rPr>
      <w:sz w:val="20"/>
      <w:szCs w:val="20"/>
    </w:rPr>
  </w:style>
  <w:style w:type="paragraph" w:styleId="CommentSubject">
    <w:name w:val="annotation subject"/>
    <w:basedOn w:val="CommentText"/>
    <w:next w:val="CommentText"/>
    <w:link w:val="CommentSubjectChar"/>
    <w:uiPriority w:val="99"/>
    <w:semiHidden/>
    <w:unhideWhenUsed/>
    <w:rsid w:val="00AC6ED9"/>
    <w:rPr>
      <w:b/>
      <w:bCs/>
    </w:rPr>
  </w:style>
  <w:style w:type="character" w:customStyle="1" w:styleId="CommentSubjectChar">
    <w:name w:val="Comment Subject Char"/>
    <w:basedOn w:val="CommentTextChar"/>
    <w:link w:val="CommentSubject"/>
    <w:uiPriority w:val="99"/>
    <w:semiHidden/>
    <w:rsid w:val="00AC6ED9"/>
    <w:rPr>
      <w:b/>
      <w:bCs/>
      <w:sz w:val="20"/>
      <w:szCs w:val="20"/>
    </w:rPr>
  </w:style>
  <w:style w:type="paragraph" w:styleId="Revision">
    <w:name w:val="Revision"/>
    <w:hidden/>
    <w:uiPriority w:val="99"/>
    <w:semiHidden/>
    <w:rsid w:val="00AC6ED9"/>
    <w:pPr>
      <w:spacing w:after="0" w:line="240" w:lineRule="auto"/>
    </w:pPr>
  </w:style>
  <w:style w:type="paragraph" w:customStyle="1" w:styleId="Default">
    <w:name w:val="Default"/>
    <w:rsid w:val="00E0105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B22F69"/>
    <w:rPr>
      <w:color w:val="0000FF"/>
      <w:u w:val="single"/>
    </w:rPr>
  </w:style>
</w:styles>
</file>

<file path=word/webSettings.xml><?xml version="1.0" encoding="utf-8"?>
<w:webSettings xmlns:r="http://schemas.openxmlformats.org/officeDocument/2006/relationships" xmlns:w="http://schemas.openxmlformats.org/wordprocessingml/2006/main">
  <w:divs>
    <w:div w:id="14700799">
      <w:bodyDiv w:val="1"/>
      <w:marLeft w:val="0"/>
      <w:marRight w:val="0"/>
      <w:marTop w:val="0"/>
      <w:marBottom w:val="0"/>
      <w:divBdr>
        <w:top w:val="none" w:sz="0" w:space="0" w:color="auto"/>
        <w:left w:val="none" w:sz="0" w:space="0" w:color="auto"/>
        <w:bottom w:val="none" w:sz="0" w:space="0" w:color="auto"/>
        <w:right w:val="none" w:sz="0" w:space="0" w:color="auto"/>
      </w:divBdr>
    </w:div>
    <w:div w:id="71392832">
      <w:bodyDiv w:val="1"/>
      <w:marLeft w:val="0"/>
      <w:marRight w:val="0"/>
      <w:marTop w:val="0"/>
      <w:marBottom w:val="0"/>
      <w:divBdr>
        <w:top w:val="none" w:sz="0" w:space="0" w:color="auto"/>
        <w:left w:val="none" w:sz="0" w:space="0" w:color="auto"/>
        <w:bottom w:val="none" w:sz="0" w:space="0" w:color="auto"/>
        <w:right w:val="none" w:sz="0" w:space="0" w:color="auto"/>
      </w:divBdr>
    </w:div>
    <w:div w:id="92871584">
      <w:bodyDiv w:val="1"/>
      <w:marLeft w:val="0"/>
      <w:marRight w:val="0"/>
      <w:marTop w:val="0"/>
      <w:marBottom w:val="0"/>
      <w:divBdr>
        <w:top w:val="none" w:sz="0" w:space="0" w:color="auto"/>
        <w:left w:val="none" w:sz="0" w:space="0" w:color="auto"/>
        <w:bottom w:val="none" w:sz="0" w:space="0" w:color="auto"/>
        <w:right w:val="none" w:sz="0" w:space="0" w:color="auto"/>
      </w:divBdr>
    </w:div>
    <w:div w:id="237332072">
      <w:bodyDiv w:val="1"/>
      <w:marLeft w:val="0"/>
      <w:marRight w:val="0"/>
      <w:marTop w:val="0"/>
      <w:marBottom w:val="0"/>
      <w:divBdr>
        <w:top w:val="none" w:sz="0" w:space="0" w:color="auto"/>
        <w:left w:val="none" w:sz="0" w:space="0" w:color="auto"/>
        <w:bottom w:val="none" w:sz="0" w:space="0" w:color="auto"/>
        <w:right w:val="none" w:sz="0" w:space="0" w:color="auto"/>
      </w:divBdr>
    </w:div>
    <w:div w:id="253829338">
      <w:bodyDiv w:val="1"/>
      <w:marLeft w:val="0"/>
      <w:marRight w:val="0"/>
      <w:marTop w:val="0"/>
      <w:marBottom w:val="0"/>
      <w:divBdr>
        <w:top w:val="none" w:sz="0" w:space="0" w:color="auto"/>
        <w:left w:val="none" w:sz="0" w:space="0" w:color="auto"/>
        <w:bottom w:val="none" w:sz="0" w:space="0" w:color="auto"/>
        <w:right w:val="none" w:sz="0" w:space="0" w:color="auto"/>
      </w:divBdr>
    </w:div>
    <w:div w:id="482039213">
      <w:bodyDiv w:val="1"/>
      <w:marLeft w:val="0"/>
      <w:marRight w:val="0"/>
      <w:marTop w:val="0"/>
      <w:marBottom w:val="0"/>
      <w:divBdr>
        <w:top w:val="none" w:sz="0" w:space="0" w:color="auto"/>
        <w:left w:val="none" w:sz="0" w:space="0" w:color="auto"/>
        <w:bottom w:val="none" w:sz="0" w:space="0" w:color="auto"/>
        <w:right w:val="none" w:sz="0" w:space="0" w:color="auto"/>
      </w:divBdr>
    </w:div>
    <w:div w:id="505096107">
      <w:bodyDiv w:val="1"/>
      <w:marLeft w:val="0"/>
      <w:marRight w:val="0"/>
      <w:marTop w:val="0"/>
      <w:marBottom w:val="0"/>
      <w:divBdr>
        <w:top w:val="none" w:sz="0" w:space="0" w:color="auto"/>
        <w:left w:val="none" w:sz="0" w:space="0" w:color="auto"/>
        <w:bottom w:val="none" w:sz="0" w:space="0" w:color="auto"/>
        <w:right w:val="none" w:sz="0" w:space="0" w:color="auto"/>
      </w:divBdr>
    </w:div>
    <w:div w:id="680857291">
      <w:bodyDiv w:val="1"/>
      <w:marLeft w:val="0"/>
      <w:marRight w:val="0"/>
      <w:marTop w:val="0"/>
      <w:marBottom w:val="0"/>
      <w:divBdr>
        <w:top w:val="none" w:sz="0" w:space="0" w:color="auto"/>
        <w:left w:val="none" w:sz="0" w:space="0" w:color="auto"/>
        <w:bottom w:val="none" w:sz="0" w:space="0" w:color="auto"/>
        <w:right w:val="none" w:sz="0" w:space="0" w:color="auto"/>
      </w:divBdr>
    </w:div>
    <w:div w:id="688525453">
      <w:bodyDiv w:val="1"/>
      <w:marLeft w:val="0"/>
      <w:marRight w:val="0"/>
      <w:marTop w:val="0"/>
      <w:marBottom w:val="0"/>
      <w:divBdr>
        <w:top w:val="none" w:sz="0" w:space="0" w:color="auto"/>
        <w:left w:val="none" w:sz="0" w:space="0" w:color="auto"/>
        <w:bottom w:val="none" w:sz="0" w:space="0" w:color="auto"/>
        <w:right w:val="none" w:sz="0" w:space="0" w:color="auto"/>
      </w:divBdr>
    </w:div>
    <w:div w:id="993025464">
      <w:bodyDiv w:val="1"/>
      <w:marLeft w:val="0"/>
      <w:marRight w:val="0"/>
      <w:marTop w:val="0"/>
      <w:marBottom w:val="0"/>
      <w:divBdr>
        <w:top w:val="none" w:sz="0" w:space="0" w:color="auto"/>
        <w:left w:val="none" w:sz="0" w:space="0" w:color="auto"/>
        <w:bottom w:val="none" w:sz="0" w:space="0" w:color="auto"/>
        <w:right w:val="none" w:sz="0" w:space="0" w:color="auto"/>
      </w:divBdr>
    </w:div>
    <w:div w:id="1078481685">
      <w:bodyDiv w:val="1"/>
      <w:marLeft w:val="0"/>
      <w:marRight w:val="0"/>
      <w:marTop w:val="0"/>
      <w:marBottom w:val="0"/>
      <w:divBdr>
        <w:top w:val="none" w:sz="0" w:space="0" w:color="auto"/>
        <w:left w:val="none" w:sz="0" w:space="0" w:color="auto"/>
        <w:bottom w:val="none" w:sz="0" w:space="0" w:color="auto"/>
        <w:right w:val="none" w:sz="0" w:space="0" w:color="auto"/>
      </w:divBdr>
    </w:div>
    <w:div w:id="1143890860">
      <w:bodyDiv w:val="1"/>
      <w:marLeft w:val="0"/>
      <w:marRight w:val="0"/>
      <w:marTop w:val="0"/>
      <w:marBottom w:val="0"/>
      <w:divBdr>
        <w:top w:val="none" w:sz="0" w:space="0" w:color="auto"/>
        <w:left w:val="none" w:sz="0" w:space="0" w:color="auto"/>
        <w:bottom w:val="none" w:sz="0" w:space="0" w:color="auto"/>
        <w:right w:val="none" w:sz="0" w:space="0" w:color="auto"/>
      </w:divBdr>
    </w:div>
    <w:div w:id="1169831904">
      <w:bodyDiv w:val="1"/>
      <w:marLeft w:val="0"/>
      <w:marRight w:val="0"/>
      <w:marTop w:val="0"/>
      <w:marBottom w:val="0"/>
      <w:divBdr>
        <w:top w:val="none" w:sz="0" w:space="0" w:color="auto"/>
        <w:left w:val="none" w:sz="0" w:space="0" w:color="auto"/>
        <w:bottom w:val="none" w:sz="0" w:space="0" w:color="auto"/>
        <w:right w:val="none" w:sz="0" w:space="0" w:color="auto"/>
      </w:divBdr>
    </w:div>
    <w:div w:id="1467235496">
      <w:bodyDiv w:val="1"/>
      <w:marLeft w:val="0"/>
      <w:marRight w:val="0"/>
      <w:marTop w:val="0"/>
      <w:marBottom w:val="0"/>
      <w:divBdr>
        <w:top w:val="none" w:sz="0" w:space="0" w:color="auto"/>
        <w:left w:val="none" w:sz="0" w:space="0" w:color="auto"/>
        <w:bottom w:val="none" w:sz="0" w:space="0" w:color="auto"/>
        <w:right w:val="none" w:sz="0" w:space="0" w:color="auto"/>
      </w:divBdr>
    </w:div>
    <w:div w:id="1476604209">
      <w:bodyDiv w:val="1"/>
      <w:marLeft w:val="0"/>
      <w:marRight w:val="0"/>
      <w:marTop w:val="0"/>
      <w:marBottom w:val="0"/>
      <w:divBdr>
        <w:top w:val="none" w:sz="0" w:space="0" w:color="auto"/>
        <w:left w:val="none" w:sz="0" w:space="0" w:color="auto"/>
        <w:bottom w:val="none" w:sz="0" w:space="0" w:color="auto"/>
        <w:right w:val="none" w:sz="0" w:space="0" w:color="auto"/>
      </w:divBdr>
    </w:div>
    <w:div w:id="1670405086">
      <w:bodyDiv w:val="1"/>
      <w:marLeft w:val="0"/>
      <w:marRight w:val="0"/>
      <w:marTop w:val="0"/>
      <w:marBottom w:val="0"/>
      <w:divBdr>
        <w:top w:val="none" w:sz="0" w:space="0" w:color="auto"/>
        <w:left w:val="none" w:sz="0" w:space="0" w:color="auto"/>
        <w:bottom w:val="none" w:sz="0" w:space="0" w:color="auto"/>
        <w:right w:val="none" w:sz="0" w:space="0" w:color="auto"/>
      </w:divBdr>
    </w:div>
    <w:div w:id="1960067576">
      <w:bodyDiv w:val="1"/>
      <w:marLeft w:val="0"/>
      <w:marRight w:val="0"/>
      <w:marTop w:val="0"/>
      <w:marBottom w:val="0"/>
      <w:divBdr>
        <w:top w:val="none" w:sz="0" w:space="0" w:color="auto"/>
        <w:left w:val="none" w:sz="0" w:space="0" w:color="auto"/>
        <w:bottom w:val="none" w:sz="0" w:space="0" w:color="auto"/>
        <w:right w:val="none" w:sz="0" w:space="0" w:color="auto"/>
      </w:divBdr>
    </w:div>
    <w:div w:id="1969971358">
      <w:bodyDiv w:val="1"/>
      <w:marLeft w:val="0"/>
      <w:marRight w:val="0"/>
      <w:marTop w:val="0"/>
      <w:marBottom w:val="0"/>
      <w:divBdr>
        <w:top w:val="none" w:sz="0" w:space="0" w:color="auto"/>
        <w:left w:val="none" w:sz="0" w:space="0" w:color="auto"/>
        <w:bottom w:val="none" w:sz="0" w:space="0" w:color="auto"/>
        <w:right w:val="none" w:sz="0" w:space="0" w:color="auto"/>
      </w:divBdr>
    </w:div>
    <w:div w:id="213524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6.xml"/><Relationship Id="rId26"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chart" Target="charts/chart5.xml"/><Relationship Id="rId25"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 Id="rId27"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oleObject" Target="file:///\\filesrv.vi.local\dati\SVD\Produktu%20drosuma%20un%20tirgus%20uzraudzibas%20nodala\Tematiskas_kontroles\Pilns_plaukts\2019\KM_Pilns_plaukts_2019.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ilesrv.vi.local\dati\SVD\Produktu%20drosuma%20un%20tirgus%20uzraudzibas%20nodala\Tematiskas_kontroles\Pilns_plaukts\2019\KM_Pilns_plaukts_2019.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ilesrv.vi.local\dati\SVD\Produktu%20drosuma%20un%20tirgus%20uzraudzibas%20nodala\Tematiskas_kontroles\Pilns_plaukts\2019\KM_Pilns_plaukts_2019.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ilesrv.vi.local\dati\SVD\Produktu%20drosuma%20un%20tirgus%20uzraudzibas%20nodala\Tematiskas_kontroles\Pilns_plaukts\2019\KM_Pilns_plaukts_2019.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ilesrv.vi.local\dati\SVD\Produktu%20drosuma%20un%20tirgus%20uzraudzibas%20nodala\Tematiskas_kontroles\Pilns_plaukts\2019\KM_Pilns_plaukts_2019.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ilesrv.vi.local\dati\SVD\Produktu%20drosuma%20un%20tirgus%20uzraudzibas%20nodala\Tematiskas_kontroles\Pilns_plaukts\2019\KM_Pilns_plaukts_201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8"/>
  <c:chart>
    <c:plotArea>
      <c:layout/>
      <c:barChart>
        <c:barDir val="col"/>
        <c:grouping val="clustered"/>
        <c:ser>
          <c:idx val="0"/>
          <c:order val="0"/>
          <c:spPr>
            <a:ln>
              <a:solidFill>
                <a:prstClr val="black"/>
              </a:solidFill>
            </a:ln>
          </c:spPr>
          <c:dPt>
            <c:idx val="2"/>
            <c:spPr>
              <a:solidFill>
                <a:srgbClr val="CC3300"/>
              </a:solidFill>
              <a:ln>
                <a:solidFill>
                  <a:prstClr val="black"/>
                </a:solidFill>
              </a:ln>
            </c:spPr>
            <c:extLst xmlns:c16r2="http://schemas.microsoft.com/office/drawing/2015/06/chart">
              <c:ext xmlns:c16="http://schemas.microsoft.com/office/drawing/2014/chart" uri="{C3380CC4-5D6E-409C-BE32-E72D297353CC}">
                <c16:uniqueId val="{00000000-5C05-4C49-AB1C-135B72DE7753}"/>
              </c:ext>
            </c:extLst>
          </c:dPt>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Sheet1!$B$83:$B$96</c:f>
              <c:strCache>
                <c:ptCount val="14"/>
                <c:pt idx="0">
                  <c:v>Vācija</c:v>
                </c:pt>
                <c:pt idx="1">
                  <c:v>Beļģija</c:v>
                </c:pt>
                <c:pt idx="2">
                  <c:v>Latvija</c:v>
                </c:pt>
                <c:pt idx="3">
                  <c:v>Serbija</c:v>
                </c:pt>
                <c:pt idx="4">
                  <c:v>Ukraina</c:v>
                </c:pt>
                <c:pt idx="5">
                  <c:v>Francija</c:v>
                </c:pt>
                <c:pt idx="6">
                  <c:v>Krievija</c:v>
                </c:pt>
                <c:pt idx="7">
                  <c:v>ASV</c:v>
                </c:pt>
                <c:pt idx="8">
                  <c:v>Baltkrievija</c:v>
                </c:pt>
                <c:pt idx="9">
                  <c:v>Lielbritānija</c:v>
                </c:pt>
                <c:pt idx="10">
                  <c:v>Ražots ES</c:v>
                </c:pt>
                <c:pt idx="11">
                  <c:v>Dānija</c:v>
                </c:pt>
                <c:pt idx="12">
                  <c:v>Izraēla</c:v>
                </c:pt>
                <c:pt idx="13">
                  <c:v>Lietuva</c:v>
                </c:pt>
              </c:strCache>
            </c:strRef>
          </c:cat>
          <c:val>
            <c:numRef>
              <c:f>Sheet1!$C$83:$C$96</c:f>
              <c:numCache>
                <c:formatCode>General</c:formatCode>
                <c:ptCount val="14"/>
                <c:pt idx="0">
                  <c:v>25</c:v>
                </c:pt>
                <c:pt idx="1">
                  <c:v>18</c:v>
                </c:pt>
                <c:pt idx="2">
                  <c:v>17</c:v>
                </c:pt>
                <c:pt idx="3">
                  <c:v>9</c:v>
                </c:pt>
                <c:pt idx="4">
                  <c:v>7</c:v>
                </c:pt>
                <c:pt idx="5">
                  <c:v>6</c:v>
                </c:pt>
                <c:pt idx="6">
                  <c:v>5</c:v>
                </c:pt>
                <c:pt idx="7">
                  <c:v>2</c:v>
                </c:pt>
                <c:pt idx="8">
                  <c:v>2</c:v>
                </c:pt>
                <c:pt idx="9">
                  <c:v>2</c:v>
                </c:pt>
                <c:pt idx="10">
                  <c:v>2</c:v>
                </c:pt>
                <c:pt idx="11">
                  <c:v>1</c:v>
                </c:pt>
                <c:pt idx="12">
                  <c:v>1</c:v>
                </c:pt>
                <c:pt idx="13">
                  <c:v>1</c:v>
                </c:pt>
              </c:numCache>
            </c:numRef>
          </c:val>
          <c:extLst xmlns:c16r2="http://schemas.microsoft.com/office/drawing/2015/06/chart">
            <c:ext xmlns:c16="http://schemas.microsoft.com/office/drawing/2014/chart" uri="{C3380CC4-5D6E-409C-BE32-E72D297353CC}">
              <c16:uniqueId val="{00000001-5C05-4C49-AB1C-135B72DE7753}"/>
            </c:ext>
          </c:extLst>
        </c:ser>
        <c:axId val="44136704"/>
        <c:axId val="44141184"/>
      </c:barChart>
      <c:catAx>
        <c:axId val="44136704"/>
        <c:scaling>
          <c:orientation val="minMax"/>
        </c:scaling>
        <c:axPos val="b"/>
        <c:numFmt formatCode="General" sourceLinked="0"/>
        <c:tickLblPos val="nextTo"/>
        <c:crossAx val="44141184"/>
        <c:crosses val="autoZero"/>
        <c:auto val="1"/>
        <c:lblAlgn val="ctr"/>
        <c:lblOffset val="100"/>
      </c:catAx>
      <c:valAx>
        <c:axId val="44141184"/>
        <c:scaling>
          <c:orientation val="minMax"/>
        </c:scaling>
        <c:axPos val="l"/>
        <c:majorGridlines/>
        <c:numFmt formatCode="General" sourceLinked="1"/>
        <c:tickLblPos val="nextTo"/>
        <c:crossAx val="44136704"/>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8"/>
  <c:chart>
    <c:plotArea>
      <c:layout>
        <c:manualLayout>
          <c:layoutTarget val="inner"/>
          <c:xMode val="edge"/>
          <c:yMode val="edge"/>
          <c:x val="7.1988407699037638E-2"/>
          <c:y val="5.1400554097404488E-2"/>
          <c:w val="0.68259623797025359"/>
          <c:h val="0.77611512102653823"/>
        </c:manualLayout>
      </c:layout>
      <c:barChart>
        <c:barDir val="col"/>
        <c:grouping val="stacked"/>
        <c:ser>
          <c:idx val="0"/>
          <c:order val="0"/>
          <c:tx>
            <c:strRef>
              <c:f>Sheet1!$C$116</c:f>
              <c:strCache>
                <c:ptCount val="1"/>
                <c:pt idx="0">
                  <c:v>Atbilstošs marķējums</c:v>
                </c:pt>
              </c:strCache>
            </c:strRef>
          </c:tx>
          <c:spPr>
            <a:solidFill>
              <a:srgbClr val="FF9933"/>
            </a:solidFill>
            <a:ln>
              <a:solidFill>
                <a:prstClr val="black"/>
              </a:solidFill>
            </a:ln>
          </c:spP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Sheet1!$B$117:$B$119</c:f>
              <c:strCache>
                <c:ptCount val="3"/>
                <c:pt idx="0">
                  <c:v>Ražoti Latvijā</c:v>
                </c:pt>
                <c:pt idx="1">
                  <c:v>Importēti Latvijā</c:v>
                </c:pt>
                <c:pt idx="2">
                  <c:v>Ražoti citās ES valstīs</c:v>
                </c:pt>
              </c:strCache>
            </c:strRef>
          </c:cat>
          <c:val>
            <c:numRef>
              <c:f>Sheet1!$C$117:$C$119</c:f>
              <c:numCache>
                <c:formatCode>General</c:formatCode>
                <c:ptCount val="3"/>
                <c:pt idx="0">
                  <c:v>17</c:v>
                </c:pt>
                <c:pt idx="1">
                  <c:v>15</c:v>
                </c:pt>
                <c:pt idx="2">
                  <c:v>43</c:v>
                </c:pt>
              </c:numCache>
            </c:numRef>
          </c:val>
          <c:extLst xmlns:c16r2="http://schemas.microsoft.com/office/drawing/2015/06/chart">
            <c:ext xmlns:c16="http://schemas.microsoft.com/office/drawing/2014/chart" uri="{C3380CC4-5D6E-409C-BE32-E72D297353CC}">
              <c16:uniqueId val="{00000000-85C4-4BC6-AE53-C0C0FE0CDA3C}"/>
            </c:ext>
          </c:extLst>
        </c:ser>
        <c:ser>
          <c:idx val="1"/>
          <c:order val="1"/>
          <c:tx>
            <c:strRef>
              <c:f>Sheet1!$D$116</c:f>
              <c:strCache>
                <c:ptCount val="1"/>
                <c:pt idx="0">
                  <c:v>Neatbilstošs marķējums</c:v>
                </c:pt>
              </c:strCache>
            </c:strRef>
          </c:tx>
          <c:spPr>
            <a:solidFill>
              <a:schemeClr val="accent6">
                <a:lumMod val="40000"/>
                <a:lumOff val="60000"/>
              </a:schemeClr>
            </a:solidFill>
            <a:ln>
              <a:solidFill>
                <a:prstClr val="black"/>
              </a:solidFill>
            </a:ln>
          </c:spPr>
          <c:dLbls>
            <c:dLbl>
              <c:idx val="1"/>
              <c:layout>
                <c:manualLayout>
                  <c:x val="8.3333333333333367E-3"/>
                  <c:y val="-3.7037037037037056E-2"/>
                </c:manualLayout>
              </c:layout>
              <c:showVal val="1"/>
            </c:dLbl>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Sheet1!$B$117:$B$119</c:f>
              <c:strCache>
                <c:ptCount val="3"/>
                <c:pt idx="0">
                  <c:v>Ražoti Latvijā</c:v>
                </c:pt>
                <c:pt idx="1">
                  <c:v>Importēti Latvijā</c:v>
                </c:pt>
                <c:pt idx="2">
                  <c:v>Ražoti citās ES valstīs</c:v>
                </c:pt>
              </c:strCache>
            </c:strRef>
          </c:cat>
          <c:val>
            <c:numRef>
              <c:f>Sheet1!$D$117:$D$119</c:f>
              <c:numCache>
                <c:formatCode>General</c:formatCode>
                <c:ptCount val="3"/>
                <c:pt idx="0">
                  <c:v>0</c:v>
                </c:pt>
                <c:pt idx="1">
                  <c:v>2</c:v>
                </c:pt>
                <c:pt idx="2">
                  <c:v>21</c:v>
                </c:pt>
              </c:numCache>
            </c:numRef>
          </c:val>
          <c:extLst xmlns:c16r2="http://schemas.microsoft.com/office/drawing/2015/06/chart">
            <c:ext xmlns:c16="http://schemas.microsoft.com/office/drawing/2014/chart" uri="{C3380CC4-5D6E-409C-BE32-E72D297353CC}">
              <c16:uniqueId val="{00000001-85C4-4BC6-AE53-C0C0FE0CDA3C}"/>
            </c:ext>
          </c:extLst>
        </c:ser>
        <c:overlap val="100"/>
        <c:axId val="129289600"/>
        <c:axId val="129471616"/>
      </c:barChart>
      <c:catAx>
        <c:axId val="129289600"/>
        <c:scaling>
          <c:orientation val="minMax"/>
        </c:scaling>
        <c:axPos val="b"/>
        <c:numFmt formatCode="General" sourceLinked="0"/>
        <c:tickLblPos val="nextTo"/>
        <c:crossAx val="129471616"/>
        <c:crosses val="autoZero"/>
        <c:auto val="1"/>
        <c:lblAlgn val="ctr"/>
        <c:lblOffset val="100"/>
      </c:catAx>
      <c:valAx>
        <c:axId val="129471616"/>
        <c:scaling>
          <c:orientation val="minMax"/>
        </c:scaling>
        <c:axPos val="l"/>
        <c:majorGridlines/>
        <c:numFmt formatCode="General" sourceLinked="1"/>
        <c:tickLblPos val="nextTo"/>
        <c:crossAx val="129289600"/>
        <c:crosses val="autoZero"/>
        <c:crossBetween val="between"/>
      </c:valAx>
    </c:plotArea>
    <c:legend>
      <c:legendPos val="r"/>
      <c:layout>
        <c:manualLayout>
          <c:xMode val="edge"/>
          <c:yMode val="edge"/>
          <c:x val="0.76847353455818601"/>
          <c:y val="0.41628280839895243"/>
          <c:w val="0.21485979877515321"/>
          <c:h val="0.3896566054243234"/>
        </c:manualLayout>
      </c:layout>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pieChart>
        <c:varyColors val="1"/>
        <c:ser>
          <c:idx val="0"/>
          <c:order val="0"/>
          <c:spPr>
            <a:ln>
              <a:solidFill>
                <a:prstClr val="black"/>
              </a:solidFill>
            </a:ln>
          </c:spPr>
          <c:dPt>
            <c:idx val="0"/>
            <c:spPr>
              <a:solidFill>
                <a:srgbClr val="CC3300"/>
              </a:solidFill>
              <a:ln>
                <a:solidFill>
                  <a:prstClr val="black"/>
                </a:solidFill>
              </a:ln>
            </c:spPr>
            <c:extLst xmlns:c16r2="http://schemas.microsoft.com/office/drawing/2015/06/chart">
              <c:ext xmlns:c16="http://schemas.microsoft.com/office/drawing/2014/chart" uri="{C3380CC4-5D6E-409C-BE32-E72D297353CC}">
                <c16:uniqueId val="{00000000-052C-4BBD-A1BF-7C5DBCD0B032}"/>
              </c:ext>
            </c:extLst>
          </c:dPt>
          <c:dPt>
            <c:idx val="1"/>
            <c:spPr>
              <a:solidFill>
                <a:srgbClr val="FF9933"/>
              </a:solidFill>
              <a:ln>
                <a:solidFill>
                  <a:prstClr val="black"/>
                </a:solidFill>
              </a:ln>
            </c:spPr>
            <c:extLst xmlns:c16r2="http://schemas.microsoft.com/office/drawing/2015/06/chart">
              <c:ext xmlns:c16="http://schemas.microsoft.com/office/drawing/2014/chart" uri="{C3380CC4-5D6E-409C-BE32-E72D297353CC}">
                <c16:uniqueId val="{00000001-052C-4BBD-A1BF-7C5DBCD0B032}"/>
              </c:ext>
            </c:extLst>
          </c:dPt>
          <c:dPt>
            <c:idx val="2"/>
            <c:spPr>
              <a:solidFill>
                <a:srgbClr val="FFCC66"/>
              </a:solidFill>
              <a:ln>
                <a:solidFill>
                  <a:prstClr val="black"/>
                </a:solidFill>
              </a:ln>
            </c:spPr>
            <c:extLst xmlns:c16r2="http://schemas.microsoft.com/office/drawing/2015/06/chart">
              <c:ext xmlns:c16="http://schemas.microsoft.com/office/drawing/2014/chart" uri="{C3380CC4-5D6E-409C-BE32-E72D297353CC}">
                <c16:uniqueId val="{00000002-052C-4BBD-A1BF-7C5DBCD0B032}"/>
              </c:ext>
            </c:extLst>
          </c:dPt>
          <c:dPt>
            <c:idx val="3"/>
            <c:spPr>
              <a:solidFill>
                <a:schemeClr val="accent6">
                  <a:lumMod val="20000"/>
                  <a:lumOff val="80000"/>
                </a:schemeClr>
              </a:solidFill>
              <a:ln>
                <a:solidFill>
                  <a:prstClr val="black"/>
                </a:solidFill>
              </a:ln>
            </c:spPr>
            <c:extLst xmlns:c16r2="http://schemas.microsoft.com/office/drawing/2015/06/chart">
              <c:ext xmlns:c16="http://schemas.microsoft.com/office/drawing/2014/chart" uri="{C3380CC4-5D6E-409C-BE32-E72D297353CC}">
                <c16:uniqueId val="{00000003-052C-4BBD-A1BF-7C5DBCD0B032}"/>
              </c:ext>
            </c:extLst>
          </c:dPt>
          <c:dLbls>
            <c:dLbl>
              <c:idx val="0"/>
              <c:layout>
                <c:manualLayout>
                  <c:x val="2.8360126859142527E-2"/>
                  <c:y val="8.2871099445902582E-2"/>
                </c:manualLayout>
              </c:layou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52C-4BBD-A1BF-7C5DBCD0B032}"/>
                </c:ext>
              </c:extLst>
            </c:dLbl>
            <c:dLbl>
              <c:idx val="2"/>
              <c:layout>
                <c:manualLayout>
                  <c:x val="-2.7937992125984516E-2"/>
                  <c:y val="3.193277923592884E-2"/>
                </c:manualLayout>
              </c:layou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52C-4BBD-A1BF-7C5DBCD0B032}"/>
                </c:ext>
              </c:extLst>
            </c:dLbl>
            <c:dLbl>
              <c:idx val="3"/>
              <c:layout>
                <c:manualLayout>
                  <c:x val="5.5558617672790897E-2"/>
                  <c:y val="4.0531496062992126E-2"/>
                </c:manualLayout>
              </c:layout>
              <c:showCatName val="1"/>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52C-4BBD-A1BF-7C5DBCD0B032}"/>
                </c:ext>
              </c:extLst>
            </c:dLbl>
            <c:spPr>
              <a:noFill/>
              <a:ln>
                <a:noFill/>
              </a:ln>
              <a:effectLst/>
            </c:spPr>
            <c:showCatName val="1"/>
            <c:showPercent val="1"/>
            <c:showLeaderLines val="1"/>
            <c:extLst xmlns:c16r2="http://schemas.microsoft.com/office/drawing/2015/06/chart">
              <c:ext xmlns:c15="http://schemas.microsoft.com/office/drawing/2012/chart" uri="{CE6537A1-D6FC-4f65-9D91-7224C49458BB}"/>
            </c:extLst>
          </c:dLbls>
          <c:cat>
            <c:strRef>
              <c:f>Sheet1!$B$13:$B$16</c:f>
              <c:strCache>
                <c:ptCount val="4"/>
                <c:pt idx="0">
                  <c:v>GHS05</c:v>
                </c:pt>
                <c:pt idx="1">
                  <c:v>GHS07</c:v>
                </c:pt>
                <c:pt idx="2">
                  <c:v>Var izraisīt alerģisku reakciju</c:v>
                </c:pt>
                <c:pt idx="3">
                  <c:v>Bez bīstamības</c:v>
                </c:pt>
              </c:strCache>
            </c:strRef>
          </c:cat>
          <c:val>
            <c:numRef>
              <c:f>Sheet1!$C$13:$C$16</c:f>
              <c:numCache>
                <c:formatCode>General</c:formatCode>
                <c:ptCount val="4"/>
                <c:pt idx="0">
                  <c:v>14</c:v>
                </c:pt>
                <c:pt idx="1">
                  <c:v>62</c:v>
                </c:pt>
                <c:pt idx="2">
                  <c:v>2</c:v>
                </c:pt>
                <c:pt idx="3">
                  <c:v>20</c:v>
                </c:pt>
              </c:numCache>
            </c:numRef>
          </c:val>
          <c:extLst xmlns:c16r2="http://schemas.microsoft.com/office/drawing/2015/06/chart">
            <c:ext xmlns:c16="http://schemas.microsoft.com/office/drawing/2014/chart" uri="{C3380CC4-5D6E-409C-BE32-E72D297353CC}">
              <c16:uniqueId val="{00000004-052C-4BBD-A1BF-7C5DBCD0B032}"/>
            </c:ext>
          </c:extLst>
        </c:ser>
        <c:firstSliceAng val="0"/>
      </c:pieChart>
    </c:plotArea>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8"/>
  <c:chart>
    <c:plotArea>
      <c:layout/>
      <c:barChart>
        <c:barDir val="col"/>
        <c:grouping val="clustered"/>
        <c:ser>
          <c:idx val="0"/>
          <c:order val="0"/>
          <c:spPr>
            <a:ln>
              <a:solidFill>
                <a:prstClr val="black"/>
              </a:solidFill>
            </a:ln>
          </c:spPr>
          <c:dPt>
            <c:idx val="4"/>
            <c:spPr>
              <a:solidFill>
                <a:schemeClr val="accent6">
                  <a:lumMod val="75000"/>
                </a:schemeClr>
              </a:solidFill>
              <a:ln>
                <a:solidFill>
                  <a:prstClr val="black"/>
                </a:solidFill>
              </a:ln>
            </c:spPr>
            <c:extLst xmlns:c16r2="http://schemas.microsoft.com/office/drawing/2015/06/chart">
              <c:ext xmlns:c16="http://schemas.microsoft.com/office/drawing/2014/chart" uri="{C3380CC4-5D6E-409C-BE32-E72D297353CC}">
                <c16:uniqueId val="{00000000-4034-47D8-AB23-2F95C0A0EA96}"/>
              </c:ext>
            </c:extLst>
          </c:dPt>
          <c:dPt>
            <c:idx val="5"/>
            <c:spPr>
              <a:solidFill>
                <a:schemeClr val="accent6">
                  <a:lumMod val="40000"/>
                  <a:lumOff val="60000"/>
                </a:schemeClr>
              </a:solidFill>
              <a:ln>
                <a:solidFill>
                  <a:prstClr val="black"/>
                </a:solidFill>
              </a:ln>
            </c:spPr>
            <c:extLst xmlns:c16r2="http://schemas.microsoft.com/office/drawing/2015/06/chart">
              <c:ext xmlns:c16="http://schemas.microsoft.com/office/drawing/2014/chart" uri="{C3380CC4-5D6E-409C-BE32-E72D297353CC}">
                <c16:uniqueId val="{00000001-4034-47D8-AB23-2F95C0A0EA96}"/>
              </c:ext>
            </c:extLst>
          </c:dPt>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Sheet1!$B$5:$B$10</c:f>
              <c:strCache>
                <c:ptCount val="6"/>
                <c:pt idx="0">
                  <c:v>Izraisa nopietnu acu kairinājumu, H319</c:v>
                </c:pt>
                <c:pt idx="1">
                  <c:v>Izraisa nopietnus acu bojājumus, H318</c:v>
                </c:pt>
                <c:pt idx="2">
                  <c:v>Kairina ādu, H315</c:v>
                </c:pt>
                <c:pt idx="3">
                  <c:v>Var izraisīt alerģisku reakciju, EUH208</c:v>
                </c:pt>
                <c:pt idx="4">
                  <c:v>Kaitīgs ūdens organismiem ar ilglaicīgām sekām, H412</c:v>
                </c:pt>
                <c:pt idx="5">
                  <c:v>Bez bīstamības</c:v>
                </c:pt>
              </c:strCache>
            </c:strRef>
          </c:cat>
          <c:val>
            <c:numRef>
              <c:f>Sheet1!$C$5:$C$10</c:f>
              <c:numCache>
                <c:formatCode>General</c:formatCode>
                <c:ptCount val="6"/>
                <c:pt idx="0">
                  <c:v>62</c:v>
                </c:pt>
                <c:pt idx="1">
                  <c:v>14</c:v>
                </c:pt>
                <c:pt idx="2">
                  <c:v>9</c:v>
                </c:pt>
                <c:pt idx="3">
                  <c:v>7</c:v>
                </c:pt>
                <c:pt idx="4">
                  <c:v>23</c:v>
                </c:pt>
                <c:pt idx="5">
                  <c:v>20</c:v>
                </c:pt>
              </c:numCache>
            </c:numRef>
          </c:val>
          <c:extLst xmlns:c16r2="http://schemas.microsoft.com/office/drawing/2015/06/chart">
            <c:ext xmlns:c16="http://schemas.microsoft.com/office/drawing/2014/chart" uri="{C3380CC4-5D6E-409C-BE32-E72D297353CC}">
              <c16:uniqueId val="{00000002-4034-47D8-AB23-2F95C0A0EA96}"/>
            </c:ext>
          </c:extLst>
        </c:ser>
        <c:dLbls>
          <c:showVal val="1"/>
        </c:dLbls>
        <c:overlap val="-25"/>
        <c:axId val="147845120"/>
        <c:axId val="149299968"/>
      </c:barChart>
      <c:catAx>
        <c:axId val="147845120"/>
        <c:scaling>
          <c:orientation val="minMax"/>
        </c:scaling>
        <c:axPos val="b"/>
        <c:numFmt formatCode="General" sourceLinked="1"/>
        <c:majorTickMark val="none"/>
        <c:tickLblPos val="nextTo"/>
        <c:crossAx val="149299968"/>
        <c:crosses val="autoZero"/>
        <c:auto val="1"/>
        <c:lblAlgn val="ctr"/>
        <c:lblOffset val="100"/>
      </c:catAx>
      <c:valAx>
        <c:axId val="149299968"/>
        <c:scaling>
          <c:orientation val="minMax"/>
        </c:scaling>
        <c:delete val="1"/>
        <c:axPos val="l"/>
        <c:numFmt formatCode="General" sourceLinked="1"/>
        <c:tickLblPos val="none"/>
        <c:crossAx val="147845120"/>
        <c:crosses val="autoZero"/>
        <c:crossBetween val="between"/>
      </c:valAx>
    </c:plotArea>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8"/>
  <c:chart>
    <c:plotArea>
      <c:layout>
        <c:manualLayout>
          <c:layoutTarget val="inner"/>
          <c:xMode val="edge"/>
          <c:yMode val="edge"/>
          <c:x val="7.6674380919776339E-2"/>
          <c:y val="4.775277283887918E-2"/>
          <c:w val="0.57991811023622042"/>
          <c:h val="0.6870144780289561"/>
        </c:manualLayout>
      </c:layout>
      <c:barChart>
        <c:barDir val="col"/>
        <c:grouping val="clustered"/>
        <c:ser>
          <c:idx val="0"/>
          <c:order val="0"/>
          <c:tx>
            <c:strRef>
              <c:f>salidzinajums!$B$69</c:f>
              <c:strCache>
                <c:ptCount val="1"/>
                <c:pt idx="0">
                  <c:v>Veikalos konstatēti neatbilstoši ML regulas** prasībām marķēti mazgāšanas līdzekļi</c:v>
                </c:pt>
              </c:strCache>
            </c:strRef>
          </c:tx>
          <c:spPr>
            <a:solidFill>
              <a:srgbClr val="FF9933"/>
            </a:solidFill>
            <a:ln>
              <a:solidFill>
                <a:prstClr val="black"/>
              </a:solidFill>
            </a:ln>
          </c:spPr>
          <c:dLbls>
            <c:dLbl>
              <c:idx val="1"/>
              <c:layout>
                <c:manualLayout>
                  <c:x val="-2.4078979051288226E-3"/>
                  <c:y val="1.3398786935022215E-2"/>
                </c:manualLayout>
              </c:layout>
              <c:showVal val="1"/>
            </c:dLbl>
            <c:dLbl>
              <c:idx val="2"/>
              <c:layout>
                <c:manualLayout>
                  <c:x val="-4.8157958102576452E-3"/>
                  <c:y val="1.7865049246696303E-2"/>
                </c:manualLayout>
              </c:layout>
              <c:showVal val="1"/>
            </c:dLbl>
            <c:showVal val="1"/>
          </c:dLbls>
          <c:cat>
            <c:strRef>
              <c:f>salidzinajums!$C$68:$F$68</c:f>
              <c:strCache>
                <c:ptCount val="4"/>
                <c:pt idx="0">
                  <c:v>2017</c:v>
                </c:pt>
                <c:pt idx="1">
                  <c:v>2018</c:v>
                </c:pt>
                <c:pt idx="2">
                  <c:v>2019 (I-V)</c:v>
                </c:pt>
                <c:pt idx="3">
                  <c:v>Pilnais plaukts
( tikai trauku mazgāšanas līdzekļi)</c:v>
                </c:pt>
              </c:strCache>
            </c:strRef>
          </c:cat>
          <c:val>
            <c:numRef>
              <c:f>salidzinajums!$C$69:$F$69</c:f>
              <c:numCache>
                <c:formatCode>0%</c:formatCode>
                <c:ptCount val="4"/>
                <c:pt idx="0">
                  <c:v>0.27</c:v>
                </c:pt>
                <c:pt idx="1">
                  <c:v>0.14000000000000001</c:v>
                </c:pt>
                <c:pt idx="2">
                  <c:v>0.15000000000000024</c:v>
                </c:pt>
                <c:pt idx="3">
                  <c:v>0.19</c:v>
                </c:pt>
              </c:numCache>
            </c:numRef>
          </c:val>
        </c:ser>
        <c:ser>
          <c:idx val="1"/>
          <c:order val="1"/>
          <c:tx>
            <c:strRef>
              <c:f>salidzinajums!$B$70</c:f>
              <c:strCache>
                <c:ptCount val="1"/>
                <c:pt idx="0">
                  <c:v>Veikalos konstatēti neatbilstoši CLP regulas* prasībām marķēti ķīmiskie maisījumi</c:v>
                </c:pt>
              </c:strCache>
            </c:strRef>
          </c:tx>
          <c:spPr>
            <a:solidFill>
              <a:schemeClr val="accent6">
                <a:lumMod val="40000"/>
                <a:lumOff val="60000"/>
              </a:schemeClr>
            </a:solidFill>
            <a:ln>
              <a:solidFill>
                <a:prstClr val="black"/>
              </a:solidFill>
            </a:ln>
          </c:spPr>
          <c:dLbls>
            <c:dLbl>
              <c:idx val="1"/>
              <c:layout>
                <c:manualLayout>
                  <c:x val="4.8157958102576452E-3"/>
                  <c:y val="0"/>
                </c:manualLayout>
              </c:layout>
              <c:showVal val="1"/>
            </c:dLbl>
            <c:dLbl>
              <c:idx val="2"/>
              <c:layout>
                <c:manualLayout>
                  <c:x val="4.8157958102576452E-3"/>
                  <c:y val="2.2331311558370492E-2"/>
                </c:manualLayout>
              </c:layout>
              <c:showVal val="1"/>
            </c:dLbl>
            <c:dLbl>
              <c:idx val="3"/>
              <c:layout>
                <c:manualLayout>
                  <c:x val="2.4078979051288226E-3"/>
                  <c:y val="2.6797573870044392E-2"/>
                </c:manualLayout>
              </c:layout>
              <c:showVal val="1"/>
            </c:dLbl>
            <c:showVal val="1"/>
          </c:dLbls>
          <c:cat>
            <c:strRef>
              <c:f>salidzinajums!$C$68:$F$68</c:f>
              <c:strCache>
                <c:ptCount val="4"/>
                <c:pt idx="0">
                  <c:v>2017</c:v>
                </c:pt>
                <c:pt idx="1">
                  <c:v>2018</c:v>
                </c:pt>
                <c:pt idx="2">
                  <c:v>2019 (I-V)</c:v>
                </c:pt>
                <c:pt idx="3">
                  <c:v>Pilnais plaukts
( tikai trauku mazgāšanas līdzekļi)</c:v>
                </c:pt>
              </c:strCache>
            </c:strRef>
          </c:cat>
          <c:val>
            <c:numRef>
              <c:f>salidzinajums!$C$70:$F$70</c:f>
              <c:numCache>
                <c:formatCode>0%</c:formatCode>
                <c:ptCount val="4"/>
                <c:pt idx="0">
                  <c:v>0.67000000000000171</c:v>
                </c:pt>
                <c:pt idx="1">
                  <c:v>0.56999999999999995</c:v>
                </c:pt>
                <c:pt idx="2">
                  <c:v>0.25</c:v>
                </c:pt>
                <c:pt idx="3">
                  <c:v>0.05</c:v>
                </c:pt>
              </c:numCache>
            </c:numRef>
          </c:val>
        </c:ser>
        <c:axId val="171075456"/>
        <c:axId val="171076992"/>
      </c:barChart>
      <c:catAx>
        <c:axId val="171075456"/>
        <c:scaling>
          <c:orientation val="minMax"/>
        </c:scaling>
        <c:axPos val="b"/>
        <c:tickLblPos val="nextTo"/>
        <c:crossAx val="171076992"/>
        <c:crosses val="autoZero"/>
        <c:auto val="1"/>
        <c:lblAlgn val="ctr"/>
        <c:lblOffset val="100"/>
      </c:catAx>
      <c:valAx>
        <c:axId val="171076992"/>
        <c:scaling>
          <c:orientation val="minMax"/>
        </c:scaling>
        <c:axPos val="l"/>
        <c:majorGridlines/>
        <c:numFmt formatCode="0%" sourceLinked="1"/>
        <c:tickLblPos val="nextTo"/>
        <c:crossAx val="171075456"/>
        <c:crosses val="autoZero"/>
        <c:crossBetween val="between"/>
      </c:valAx>
    </c:plotArea>
    <c:legend>
      <c:legendPos val="r"/>
      <c:layout>
        <c:manualLayout>
          <c:xMode val="edge"/>
          <c:yMode val="edge"/>
          <c:x val="0.67050553463425933"/>
          <c:y val="0.18495165523664381"/>
          <c:w val="0.31558142188748312"/>
          <c:h val="0.55929103888426435"/>
        </c:manualLayout>
      </c:layout>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8"/>
  <c:chart>
    <c:plotArea>
      <c:layout>
        <c:manualLayout>
          <c:layoutTarget val="inner"/>
          <c:xMode val="edge"/>
          <c:yMode val="edge"/>
          <c:x val="9.1849518810148481E-2"/>
          <c:y val="4.2295313085864268E-2"/>
          <c:w val="0.58386555959348874"/>
          <c:h val="0.64502798938750561"/>
        </c:manualLayout>
      </c:layout>
      <c:barChart>
        <c:barDir val="col"/>
        <c:grouping val="clustered"/>
        <c:ser>
          <c:idx val="0"/>
          <c:order val="0"/>
          <c:tx>
            <c:strRef>
              <c:f>salidzinajums!$C$68</c:f>
              <c:strCache>
                <c:ptCount val="1"/>
                <c:pt idx="0">
                  <c:v>2017</c:v>
                </c:pt>
              </c:strCache>
            </c:strRef>
          </c:tx>
          <c:spPr>
            <a:solidFill>
              <a:schemeClr val="accent6">
                <a:lumMod val="20000"/>
                <a:lumOff val="80000"/>
              </a:schemeClr>
            </a:solidFill>
            <a:ln>
              <a:solidFill>
                <a:prstClr val="black"/>
              </a:solidFill>
            </a:ln>
          </c:spPr>
          <c:dLbls>
            <c:dLbl>
              <c:idx val="0"/>
              <c:layout>
                <c:manualLayout>
                  <c:x val="0"/>
                  <c:y val="-7.1111091202494319E-3"/>
                </c:manualLayout>
              </c:layout>
              <c:showVal val="1"/>
            </c:dLbl>
            <c:dLbl>
              <c:idx val="1"/>
              <c:layout>
                <c:manualLayout>
                  <c:x val="0"/>
                  <c:y val="-7.1111091202494319E-3"/>
                </c:manualLayout>
              </c:layout>
              <c:showVal val="1"/>
            </c:dLbl>
            <c:showVal val="1"/>
          </c:dLbls>
          <c:cat>
            <c:strRef>
              <c:f>salidzinajums!$B$69:$B$70</c:f>
              <c:strCache>
                <c:ptCount val="2"/>
                <c:pt idx="0">
                  <c:v>Veikalos konstatēti neatbilstoši ML regulas** prasībām marķēti mazgāšanas līdzekļi</c:v>
                </c:pt>
                <c:pt idx="1">
                  <c:v>Veikalos konstatēti neatbilstoši CLP regulas* prasībām marķēti ķīmiskie maisījumi</c:v>
                </c:pt>
              </c:strCache>
            </c:strRef>
          </c:cat>
          <c:val>
            <c:numRef>
              <c:f>salidzinajums!$C$69:$C$70</c:f>
              <c:numCache>
                <c:formatCode>0%</c:formatCode>
                <c:ptCount val="2"/>
                <c:pt idx="0">
                  <c:v>0.27</c:v>
                </c:pt>
                <c:pt idx="1">
                  <c:v>0.67000000000000171</c:v>
                </c:pt>
              </c:numCache>
            </c:numRef>
          </c:val>
        </c:ser>
        <c:ser>
          <c:idx val="1"/>
          <c:order val="1"/>
          <c:tx>
            <c:strRef>
              <c:f>salidzinajums!$D$68</c:f>
              <c:strCache>
                <c:ptCount val="1"/>
                <c:pt idx="0">
                  <c:v>2018</c:v>
                </c:pt>
              </c:strCache>
            </c:strRef>
          </c:tx>
          <c:spPr>
            <a:solidFill>
              <a:schemeClr val="accent6">
                <a:lumMod val="60000"/>
                <a:lumOff val="40000"/>
              </a:schemeClr>
            </a:solidFill>
            <a:ln>
              <a:solidFill>
                <a:prstClr val="black"/>
              </a:solidFill>
            </a:ln>
          </c:spPr>
          <c:dLbls>
            <c:dLbl>
              <c:idx val="0"/>
              <c:layout>
                <c:manualLayout>
                  <c:x val="4.9658597144630889E-3"/>
                  <c:y val="1.4222218240498831E-2"/>
                </c:manualLayout>
              </c:layout>
              <c:showVal val="1"/>
            </c:dLbl>
            <c:dLbl>
              <c:idx val="1"/>
              <c:layout>
                <c:manualLayout>
                  <c:x val="0"/>
                  <c:y val="-1.066666368037412E-2"/>
                </c:manualLayout>
              </c:layout>
              <c:showVal val="1"/>
            </c:dLbl>
            <c:showVal val="1"/>
          </c:dLbls>
          <c:cat>
            <c:strRef>
              <c:f>salidzinajums!$B$69:$B$70</c:f>
              <c:strCache>
                <c:ptCount val="2"/>
                <c:pt idx="0">
                  <c:v>Veikalos konstatēti neatbilstoši ML regulas** prasībām marķēti mazgāšanas līdzekļi</c:v>
                </c:pt>
                <c:pt idx="1">
                  <c:v>Veikalos konstatēti neatbilstoši CLP regulas* prasībām marķēti ķīmiskie maisījumi</c:v>
                </c:pt>
              </c:strCache>
            </c:strRef>
          </c:cat>
          <c:val>
            <c:numRef>
              <c:f>salidzinajums!$D$69:$D$70</c:f>
              <c:numCache>
                <c:formatCode>0%</c:formatCode>
                <c:ptCount val="2"/>
                <c:pt idx="0">
                  <c:v>0.14000000000000001</c:v>
                </c:pt>
                <c:pt idx="1">
                  <c:v>0.56999999999999995</c:v>
                </c:pt>
              </c:numCache>
            </c:numRef>
          </c:val>
        </c:ser>
        <c:ser>
          <c:idx val="2"/>
          <c:order val="2"/>
          <c:tx>
            <c:strRef>
              <c:f>salidzinajums!$E$68</c:f>
              <c:strCache>
                <c:ptCount val="1"/>
                <c:pt idx="0">
                  <c:v>2019 (I-V)</c:v>
                </c:pt>
              </c:strCache>
            </c:strRef>
          </c:tx>
          <c:spPr>
            <a:solidFill>
              <a:srgbClr val="FF9933"/>
            </a:solidFill>
            <a:ln>
              <a:solidFill>
                <a:prstClr val="black"/>
              </a:solidFill>
            </a:ln>
          </c:spPr>
          <c:dLbls>
            <c:dLbl>
              <c:idx val="0"/>
              <c:layout>
                <c:manualLayout>
                  <c:x val="0"/>
                  <c:y val="1.4222218240498831E-2"/>
                </c:manualLayout>
              </c:layout>
              <c:showVal val="1"/>
            </c:dLbl>
            <c:dLbl>
              <c:idx val="1"/>
              <c:layout>
                <c:manualLayout>
                  <c:x val="0"/>
                  <c:y val="-2.4888881920872949E-2"/>
                </c:manualLayout>
              </c:layout>
              <c:showVal val="1"/>
            </c:dLbl>
            <c:showVal val="1"/>
          </c:dLbls>
          <c:cat>
            <c:strRef>
              <c:f>salidzinajums!$B$69:$B$70</c:f>
              <c:strCache>
                <c:ptCount val="2"/>
                <c:pt idx="0">
                  <c:v>Veikalos konstatēti neatbilstoši ML regulas** prasībām marķēti mazgāšanas līdzekļi</c:v>
                </c:pt>
                <c:pt idx="1">
                  <c:v>Veikalos konstatēti neatbilstoši CLP regulas* prasībām marķēti ķīmiskie maisījumi</c:v>
                </c:pt>
              </c:strCache>
            </c:strRef>
          </c:cat>
          <c:val>
            <c:numRef>
              <c:f>salidzinajums!$E$69:$E$70</c:f>
              <c:numCache>
                <c:formatCode>0%</c:formatCode>
                <c:ptCount val="2"/>
                <c:pt idx="0">
                  <c:v>0.15000000000000024</c:v>
                </c:pt>
                <c:pt idx="1">
                  <c:v>0.25</c:v>
                </c:pt>
              </c:numCache>
            </c:numRef>
          </c:val>
        </c:ser>
        <c:ser>
          <c:idx val="3"/>
          <c:order val="3"/>
          <c:tx>
            <c:strRef>
              <c:f>salidzinajums!$F$68</c:f>
              <c:strCache>
                <c:ptCount val="1"/>
                <c:pt idx="0">
                  <c:v>Pilnais plaukts
( tikai trauku mazgāšanas līdzekļi)</c:v>
                </c:pt>
              </c:strCache>
            </c:strRef>
          </c:tx>
          <c:spPr>
            <a:solidFill>
              <a:srgbClr val="C00000"/>
            </a:solidFill>
            <a:ln>
              <a:solidFill>
                <a:prstClr val="black"/>
              </a:solidFill>
            </a:ln>
          </c:spPr>
          <c:dLbls>
            <c:dLbl>
              <c:idx val="1"/>
              <c:layout>
                <c:manualLayout>
                  <c:x val="2.4829298572315462E-3"/>
                  <c:y val="1.4222218240498831E-2"/>
                </c:manualLayout>
              </c:layout>
              <c:showVal val="1"/>
            </c:dLbl>
            <c:showVal val="1"/>
          </c:dLbls>
          <c:cat>
            <c:strRef>
              <c:f>salidzinajums!$B$69:$B$70</c:f>
              <c:strCache>
                <c:ptCount val="2"/>
                <c:pt idx="0">
                  <c:v>Veikalos konstatēti neatbilstoši ML regulas** prasībām marķēti mazgāšanas līdzekļi</c:v>
                </c:pt>
                <c:pt idx="1">
                  <c:v>Veikalos konstatēti neatbilstoši CLP regulas* prasībām marķēti ķīmiskie maisījumi</c:v>
                </c:pt>
              </c:strCache>
            </c:strRef>
          </c:cat>
          <c:val>
            <c:numRef>
              <c:f>salidzinajums!$F$69:$F$70</c:f>
              <c:numCache>
                <c:formatCode>0%</c:formatCode>
                <c:ptCount val="2"/>
                <c:pt idx="0">
                  <c:v>0.19</c:v>
                </c:pt>
                <c:pt idx="1">
                  <c:v>0.05</c:v>
                </c:pt>
              </c:numCache>
            </c:numRef>
          </c:val>
        </c:ser>
        <c:axId val="221526272"/>
        <c:axId val="221549312"/>
      </c:barChart>
      <c:catAx>
        <c:axId val="221526272"/>
        <c:scaling>
          <c:orientation val="minMax"/>
        </c:scaling>
        <c:axPos val="b"/>
        <c:tickLblPos val="nextTo"/>
        <c:crossAx val="221549312"/>
        <c:crosses val="autoZero"/>
        <c:auto val="1"/>
        <c:lblAlgn val="ctr"/>
        <c:lblOffset val="100"/>
      </c:catAx>
      <c:valAx>
        <c:axId val="221549312"/>
        <c:scaling>
          <c:orientation val="minMax"/>
        </c:scaling>
        <c:axPos val="l"/>
        <c:majorGridlines/>
        <c:numFmt formatCode="0%" sourceLinked="1"/>
        <c:tickLblPos val="nextTo"/>
        <c:crossAx val="221526272"/>
        <c:crosses val="autoZero"/>
        <c:crossBetween val="between"/>
      </c:valAx>
    </c:plotArea>
    <c:legend>
      <c:legendPos val="r"/>
      <c:legendEntry>
        <c:idx val="3"/>
        <c:txPr>
          <a:bodyPr/>
          <a:lstStyle/>
          <a:p>
            <a:pPr>
              <a:defRPr b="1"/>
            </a:pPr>
            <a:endParaRPr lang="en-US"/>
          </a:p>
        </c:txPr>
      </c:legendEntry>
      <c:layout>
        <c:manualLayout>
          <c:xMode val="edge"/>
          <c:yMode val="edge"/>
          <c:x val="0.68894558876193457"/>
          <c:y val="0.13612168816411155"/>
          <c:w val="0.31105441123806626"/>
          <c:h val="0.71704888038294479"/>
        </c:manualLayout>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E557BC-6303-435A-BB0C-4121F269B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1554</Words>
  <Characters>8864</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sintijae</dc:creator>
  <cp:lastModifiedBy>karinad</cp:lastModifiedBy>
  <cp:revision>2</cp:revision>
  <dcterms:created xsi:type="dcterms:W3CDTF">2021-02-04T14:24:00Z</dcterms:created>
  <dcterms:modified xsi:type="dcterms:W3CDTF">2021-02-04T14:24:00Z</dcterms:modified>
</cp:coreProperties>
</file>